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p>
    <w:p>
      <w:pPr>
        <w:rPr>
          <w:rFonts w:ascii="宋体" w:hAnsi="宋体" w:cs="宋体"/>
          <w:color w:val="auto"/>
          <w:sz w:val="24"/>
          <w:highlight w:val="none"/>
          <w:bdr w:val="single" w:color="auto" w:sz="4" w:space="0"/>
        </w:rPr>
      </w:pPr>
    </w:p>
    <w:p>
      <w:pPr>
        <w:rPr>
          <w:rFonts w:ascii="宋体" w:hAnsi="宋体" w:cs="宋体"/>
          <w:color w:val="auto"/>
          <w:sz w:val="52"/>
          <w:szCs w:val="52"/>
          <w:highlight w:val="none"/>
        </w:rPr>
      </w:pPr>
      <w:bookmarkStart w:id="0" w:name="_Toc221949492"/>
    </w:p>
    <w:p>
      <w:pPr>
        <w:rPr>
          <w:rFonts w:ascii="宋体" w:hAnsi="宋体" w:cs="宋体"/>
          <w:color w:val="auto"/>
          <w:sz w:val="52"/>
          <w:szCs w:val="52"/>
          <w:highlight w:val="none"/>
        </w:rPr>
      </w:pPr>
    </w:p>
    <w:bookmarkEnd w:id="0"/>
    <w:p>
      <w:pPr>
        <w:ind w:firstLine="437"/>
        <w:jc w:val="center"/>
        <w:rPr>
          <w:rFonts w:ascii="黑体" w:eastAsia="黑体"/>
          <w:color w:val="auto"/>
          <w:sz w:val="52"/>
          <w:szCs w:val="52"/>
          <w:highlight w:val="none"/>
        </w:rPr>
      </w:pPr>
      <w:bookmarkStart w:id="1" w:name="_Toc144974495"/>
      <w:bookmarkStart w:id="2" w:name="_Toc222032650"/>
      <w:bookmarkStart w:id="3" w:name="_Toc229305341"/>
      <w:bookmarkStart w:id="4" w:name="_Toc222033832"/>
      <w:bookmarkStart w:id="5" w:name="_Toc168475642"/>
      <w:bookmarkStart w:id="6" w:name="_Toc222029481"/>
      <w:bookmarkStart w:id="7" w:name="_Toc221950007"/>
      <w:bookmarkStart w:id="8" w:name="_Toc168476045"/>
      <w:bookmarkStart w:id="9" w:name="_Toc222030983"/>
      <w:r>
        <w:rPr>
          <w:rFonts w:hint="eastAsia" w:ascii="黑体" w:eastAsia="黑体"/>
          <w:color w:val="auto"/>
          <w:sz w:val="52"/>
          <w:szCs w:val="52"/>
          <w:highlight w:val="none"/>
        </w:rPr>
        <w:t>广州市</w:t>
      </w:r>
      <w:r>
        <w:rPr>
          <w:rFonts w:ascii="黑体" w:eastAsia="黑体"/>
          <w:color w:val="auto"/>
          <w:sz w:val="52"/>
          <w:szCs w:val="52"/>
          <w:highlight w:val="none"/>
        </w:rPr>
        <w:t>农田建设</w:t>
      </w:r>
      <w:r>
        <w:rPr>
          <w:rFonts w:hint="eastAsia" w:ascii="黑体" w:eastAsia="黑体"/>
          <w:color w:val="auto"/>
          <w:sz w:val="52"/>
          <w:szCs w:val="52"/>
          <w:highlight w:val="none"/>
          <w:lang w:eastAsia="zh-CN"/>
        </w:rPr>
        <w:t>项目</w:t>
      </w:r>
      <w:bookmarkStart w:id="10" w:name="_Toc221949493"/>
    </w:p>
    <w:p>
      <w:pPr>
        <w:ind w:firstLine="437"/>
        <w:jc w:val="center"/>
        <w:rPr>
          <w:rFonts w:ascii="黑体" w:eastAsia="黑体"/>
          <w:color w:val="auto"/>
          <w:sz w:val="72"/>
          <w:szCs w:val="72"/>
          <w:highlight w:val="none"/>
        </w:rPr>
      </w:pPr>
      <w:r>
        <w:rPr>
          <w:rFonts w:hint="eastAsia" w:ascii="黑体" w:eastAsia="黑体"/>
          <w:color w:val="auto"/>
          <w:sz w:val="72"/>
          <w:szCs w:val="72"/>
          <w:highlight w:val="none"/>
        </w:rPr>
        <w:t>施工招标文件</w:t>
      </w:r>
      <w:bookmarkEnd w:id="10"/>
      <w:r>
        <w:rPr>
          <w:rFonts w:hint="eastAsia" w:ascii="黑体" w:eastAsia="黑体"/>
          <w:color w:val="auto"/>
          <w:sz w:val="72"/>
          <w:szCs w:val="72"/>
          <w:highlight w:val="none"/>
        </w:rPr>
        <w:t>示范文本</w:t>
      </w:r>
    </w:p>
    <w:p>
      <w:pPr>
        <w:spacing w:line="400" w:lineRule="exact"/>
        <w:jc w:val="center"/>
        <w:rPr>
          <w:rFonts w:ascii="宋体" w:hAnsi="宋体" w:cs="宋体"/>
          <w:b/>
          <w:color w:val="auto"/>
          <w:sz w:val="44"/>
          <w:szCs w:val="44"/>
          <w:highlight w:val="none"/>
        </w:rPr>
      </w:pPr>
    </w:p>
    <w:p>
      <w:pPr>
        <w:spacing w:line="400" w:lineRule="exact"/>
        <w:jc w:val="center"/>
        <w:rPr>
          <w:rFonts w:ascii="楷体" w:hAnsi="楷体" w:eastAsia="楷体" w:cs="宋体"/>
          <w:b/>
          <w:color w:val="auto"/>
          <w:highlight w:val="none"/>
        </w:rPr>
      </w:pPr>
      <w:bookmarkStart w:id="11" w:name="_Toc429640585"/>
      <w:bookmarkStart w:id="12" w:name="_Toc5038"/>
      <w:bookmarkStart w:id="13" w:name="_Toc524948774"/>
      <w:bookmarkStart w:id="14" w:name="_Toc433399138"/>
      <w:bookmarkStart w:id="15" w:name="_Toc519361372"/>
      <w:bookmarkStart w:id="16" w:name="_Toc469492259"/>
      <w:bookmarkStart w:id="17" w:name="_Toc456647480"/>
      <w:bookmarkStart w:id="18" w:name="_Toc519353327"/>
      <w:bookmarkStart w:id="19" w:name="_Toc432378068"/>
      <w:r>
        <w:rPr>
          <w:rFonts w:hint="eastAsia" w:ascii="楷体" w:hAnsi="楷体" w:eastAsia="楷体"/>
          <w:color w:val="auto"/>
          <w:sz w:val="44"/>
          <w:szCs w:val="44"/>
          <w:highlight w:val="none"/>
        </w:rPr>
        <w:t>（20</w:t>
      </w:r>
      <w:r>
        <w:rPr>
          <w:rFonts w:ascii="楷体" w:hAnsi="楷体" w:eastAsia="楷体"/>
          <w:color w:val="auto"/>
          <w:sz w:val="44"/>
          <w:szCs w:val="44"/>
          <w:highlight w:val="none"/>
        </w:rPr>
        <w:t>2</w:t>
      </w:r>
      <w:r>
        <w:rPr>
          <w:rFonts w:hint="eastAsia" w:ascii="楷体" w:hAnsi="楷体" w:eastAsia="楷体"/>
          <w:color w:val="auto"/>
          <w:sz w:val="44"/>
          <w:szCs w:val="44"/>
          <w:highlight w:val="none"/>
        </w:rPr>
        <w:t>4年版）</w:t>
      </w:r>
      <w:bookmarkEnd w:id="11"/>
      <w:bookmarkEnd w:id="12"/>
      <w:bookmarkEnd w:id="13"/>
      <w:bookmarkEnd w:id="14"/>
      <w:bookmarkEnd w:id="15"/>
      <w:bookmarkEnd w:id="16"/>
      <w:bookmarkEnd w:id="17"/>
      <w:bookmarkEnd w:id="18"/>
      <w:bookmarkEnd w:id="19"/>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tbl>
      <w:tblPr>
        <w:tblStyle w:val="28"/>
        <w:tblW w:w="6921" w:type="dxa"/>
        <w:tblInd w:w="1188" w:type="dxa"/>
        <w:tblLayout w:type="fixed"/>
        <w:tblCellMar>
          <w:top w:w="0" w:type="dxa"/>
          <w:left w:w="108" w:type="dxa"/>
          <w:bottom w:w="0" w:type="dxa"/>
          <w:right w:w="108" w:type="dxa"/>
        </w:tblCellMar>
      </w:tblPr>
      <w:tblGrid>
        <w:gridCol w:w="6921"/>
      </w:tblGrid>
      <w:tr>
        <w:tblPrEx>
          <w:tblLayout w:type="fixed"/>
          <w:tblCellMar>
            <w:top w:w="0" w:type="dxa"/>
            <w:left w:w="108" w:type="dxa"/>
            <w:bottom w:w="0" w:type="dxa"/>
            <w:right w:w="108" w:type="dxa"/>
          </w:tblCellMar>
        </w:tblPrEx>
        <w:trPr>
          <w:trHeight w:val="635" w:hRule="atLeast"/>
        </w:trPr>
        <w:tc>
          <w:tcPr>
            <w:tcW w:w="6921" w:type="dxa"/>
          </w:tcPr>
          <w:p>
            <w:pPr>
              <w:jc w:val="distribute"/>
              <w:rPr>
                <w:rFonts w:ascii="黑体" w:eastAsia="黑体"/>
                <w:b/>
                <w:color w:val="auto"/>
                <w:spacing w:val="-8"/>
                <w:sz w:val="44"/>
                <w:szCs w:val="44"/>
                <w:highlight w:val="none"/>
              </w:rPr>
            </w:pPr>
            <w:r>
              <w:rPr>
                <w:rFonts w:hint="eastAsia" w:ascii="黑体" w:eastAsia="黑体"/>
                <w:b/>
                <w:color w:val="auto"/>
                <w:spacing w:val="-8"/>
                <w:sz w:val="44"/>
                <w:szCs w:val="44"/>
                <w:highlight w:val="none"/>
              </w:rPr>
              <w:t>广州市农业农村局</w:t>
            </w:r>
          </w:p>
          <w:p>
            <w:pPr>
              <w:jc w:val="distribute"/>
              <w:rPr>
                <w:color w:val="auto"/>
                <w:highlight w:val="none"/>
              </w:rPr>
            </w:pPr>
          </w:p>
        </w:tc>
      </w:tr>
    </w:tbl>
    <w:p>
      <w:pPr>
        <w:autoSpaceDE w:val="0"/>
        <w:autoSpaceDN w:val="0"/>
        <w:adjustRightInd w:val="0"/>
        <w:spacing w:line="500" w:lineRule="exact"/>
        <w:jc w:val="center"/>
        <w:rPr>
          <w:rFonts w:ascii="宋体" w:hAnsi="宋体" w:cs="宋体"/>
          <w:b/>
          <w:color w:val="auto"/>
          <w:w w:val="91"/>
          <w:kern w:val="0"/>
          <w:szCs w:val="21"/>
          <w:highlight w:val="none"/>
        </w:rPr>
      </w:pPr>
    </w:p>
    <w:p>
      <w:pPr>
        <w:autoSpaceDE w:val="0"/>
        <w:autoSpaceDN w:val="0"/>
        <w:adjustRightInd w:val="0"/>
        <w:spacing w:line="500" w:lineRule="exact"/>
        <w:jc w:val="center"/>
        <w:rPr>
          <w:rFonts w:ascii="宋体" w:hAnsi="宋体" w:cs="宋体"/>
          <w:b/>
          <w:color w:val="auto"/>
          <w:w w:val="91"/>
          <w:kern w:val="0"/>
          <w:sz w:val="44"/>
          <w:szCs w:val="44"/>
          <w:highlight w:val="none"/>
        </w:rPr>
      </w:pPr>
      <w:r>
        <w:rPr>
          <w:rFonts w:hint="eastAsia" w:ascii="宋体" w:hAnsi="宋体" w:cs="宋体"/>
          <w:b/>
          <w:color w:val="auto"/>
          <w:w w:val="91"/>
          <w:kern w:val="0"/>
          <w:sz w:val="44"/>
          <w:szCs w:val="44"/>
          <w:highlight w:val="none"/>
        </w:rPr>
        <w:t>二〇二四年</w:t>
      </w:r>
      <w:r>
        <w:rPr>
          <w:rFonts w:hint="eastAsia" w:ascii="宋体" w:hAnsi="宋体" w:cs="宋体"/>
          <w:b/>
          <w:color w:val="auto"/>
          <w:w w:val="91"/>
          <w:kern w:val="0"/>
          <w:sz w:val="44"/>
          <w:szCs w:val="44"/>
          <w:highlight w:val="none"/>
          <w:lang w:eastAsia="zh-CN"/>
        </w:rPr>
        <w:t>二</w:t>
      </w:r>
      <w:r>
        <w:rPr>
          <w:rFonts w:hint="eastAsia" w:ascii="宋体" w:hAnsi="宋体" w:cs="宋体"/>
          <w:b/>
          <w:color w:val="auto"/>
          <w:w w:val="91"/>
          <w:kern w:val="0"/>
          <w:sz w:val="44"/>
          <w:szCs w:val="44"/>
          <w:highlight w:val="none"/>
        </w:rPr>
        <w:t>月</w:t>
      </w:r>
    </w:p>
    <w:p>
      <w:pPr>
        <w:jc w:val="center"/>
        <w:rPr>
          <w:rFonts w:ascii="宋体" w:hAnsi="宋体" w:cs="宋体"/>
          <w:b/>
          <w:color w:val="auto"/>
          <w:sz w:val="44"/>
          <w:szCs w:val="44"/>
          <w:highlight w:val="none"/>
        </w:rPr>
      </w:pPr>
    </w:p>
    <w:p>
      <w:pPr>
        <w:spacing w:line="240" w:lineRule="atLeast"/>
        <w:jc w:val="center"/>
        <w:rPr>
          <w:rFonts w:ascii="宋体" w:hAnsi="宋体" w:cs="宋体"/>
          <w:b/>
          <w:color w:val="auto"/>
          <w:sz w:val="44"/>
          <w:szCs w:val="44"/>
          <w:highlight w:val="none"/>
        </w:rPr>
      </w:pPr>
    </w:p>
    <w:p>
      <w:pPr>
        <w:pStyle w:val="30"/>
        <w:ind w:firstLine="1325"/>
        <w:outlineLvl w:val="9"/>
        <w:rPr>
          <w:rFonts w:ascii="宋体" w:hAnsi="宋体" w:cs="宋体"/>
          <w:b/>
          <w:color w:val="auto"/>
          <w:sz w:val="44"/>
          <w:szCs w:val="44"/>
          <w:highlight w:val="none"/>
        </w:rPr>
      </w:pPr>
    </w:p>
    <w:p>
      <w:pPr>
        <w:rPr>
          <w:color w:val="auto"/>
          <w:highlight w:val="none"/>
        </w:rPr>
      </w:pPr>
    </w:p>
    <w:p>
      <w:pPr>
        <w:rPr>
          <w:color w:val="auto"/>
          <w:highlight w:val="none"/>
        </w:rPr>
      </w:pPr>
    </w:p>
    <w:p>
      <w:pPr>
        <w:rPr>
          <w:color w:val="auto"/>
          <w:highlight w:val="none"/>
        </w:rPr>
      </w:pPr>
    </w:p>
    <w:p>
      <w:pPr>
        <w:spacing w:line="500" w:lineRule="exact"/>
        <w:jc w:val="center"/>
        <w:rPr>
          <w:rFonts w:hint="eastAsia" w:ascii="宋体" w:hAnsi="宋体" w:cs="宋体"/>
          <w:b/>
          <w:color w:val="auto"/>
          <w:sz w:val="32"/>
          <w:szCs w:val="32"/>
          <w:highlight w:val="none"/>
        </w:rPr>
        <w:sectPr>
          <w:pgSz w:w="11906" w:h="16838"/>
          <w:pgMar w:top="1440" w:right="1797" w:bottom="1440" w:left="1797" w:header="851" w:footer="992" w:gutter="0"/>
          <w:pgNumType w:start="1"/>
          <w:cols w:space="720" w:num="1"/>
          <w:docGrid w:linePitch="312" w:charSpace="0"/>
        </w:sectPr>
      </w:pPr>
    </w:p>
    <w:p>
      <w:pPr>
        <w:spacing w:line="500" w:lineRule="exact"/>
        <w:jc w:val="center"/>
        <w:rPr>
          <w:rFonts w:ascii="宋体" w:hAnsi="宋体" w:cs="宋体"/>
          <w:b/>
          <w:color w:val="auto"/>
          <w:sz w:val="32"/>
          <w:szCs w:val="32"/>
          <w:highlight w:val="none"/>
        </w:rPr>
      </w:pPr>
      <w:r>
        <w:rPr>
          <w:rFonts w:hint="eastAsia" w:ascii="宋体" w:hAnsi="宋体" w:cs="宋体"/>
          <w:b/>
          <w:color w:val="auto"/>
          <w:sz w:val="32"/>
          <w:szCs w:val="32"/>
          <w:highlight w:val="none"/>
        </w:rPr>
        <w:t>使用说明</w:t>
      </w:r>
    </w:p>
    <w:p>
      <w:pPr>
        <w:spacing w:line="500" w:lineRule="exact"/>
        <w:jc w:val="center"/>
        <w:rPr>
          <w:rFonts w:ascii="宋体" w:hAnsi="宋体" w:cs="宋体"/>
          <w:b/>
          <w:color w:val="auto"/>
          <w:sz w:val="32"/>
          <w:szCs w:val="32"/>
          <w:highlight w:val="none"/>
        </w:rPr>
      </w:pPr>
    </w:p>
    <w:p>
      <w:pPr>
        <w:spacing w:line="360" w:lineRule="auto"/>
        <w:ind w:firstLine="700" w:firstLineChars="250"/>
        <w:rPr>
          <w:rFonts w:ascii="仿宋_GB2312" w:hAnsi="宋体" w:eastAsia="仿宋_GB2312"/>
          <w:color w:val="auto"/>
          <w:sz w:val="28"/>
          <w:szCs w:val="28"/>
          <w:highlight w:val="none"/>
        </w:rPr>
      </w:pPr>
      <w:r>
        <w:rPr>
          <w:rFonts w:hint="eastAsia" w:ascii="仿宋_GB2312" w:eastAsia="仿宋_GB2312"/>
          <w:color w:val="auto"/>
          <w:sz w:val="28"/>
          <w:szCs w:val="28"/>
          <w:highlight w:val="none"/>
        </w:rPr>
        <w:t>一、《广州市</w:t>
      </w:r>
      <w:r>
        <w:rPr>
          <w:rFonts w:ascii="仿宋_GB2312" w:eastAsia="仿宋_GB2312"/>
          <w:color w:val="auto"/>
          <w:sz w:val="28"/>
          <w:szCs w:val="28"/>
          <w:highlight w:val="none"/>
        </w:rPr>
        <w:t>农田建设</w:t>
      </w:r>
      <w:r>
        <w:rPr>
          <w:rFonts w:hint="eastAsia" w:ascii="仿宋_GB2312" w:eastAsia="仿宋_GB2312"/>
          <w:color w:val="auto"/>
          <w:sz w:val="28"/>
          <w:szCs w:val="28"/>
          <w:highlight w:val="none"/>
          <w:lang w:eastAsia="zh-CN"/>
        </w:rPr>
        <w:t>项目</w:t>
      </w:r>
      <w:r>
        <w:rPr>
          <w:rFonts w:hint="eastAsia" w:ascii="仿宋_GB2312" w:eastAsia="仿宋_GB2312"/>
          <w:color w:val="auto"/>
          <w:sz w:val="28"/>
          <w:szCs w:val="28"/>
          <w:highlight w:val="none"/>
        </w:rPr>
        <w:t>施工招标文件示</w:t>
      </w:r>
      <w:r>
        <w:rPr>
          <w:rFonts w:hint="default" w:ascii="Times New Roman" w:eastAsia="仿宋_GB2312"/>
          <w:color w:val="auto"/>
          <w:sz w:val="28"/>
          <w:szCs w:val="28"/>
          <w:highlight w:val="none"/>
        </w:rPr>
        <w:t>范文本（20</w:t>
      </w:r>
      <w:r>
        <w:rPr>
          <w:rFonts w:ascii="Times New Roman" w:eastAsia="仿宋_GB2312"/>
          <w:color w:val="auto"/>
          <w:sz w:val="28"/>
          <w:szCs w:val="28"/>
          <w:highlight w:val="none"/>
        </w:rPr>
        <w:t>2</w:t>
      </w:r>
      <w:r>
        <w:rPr>
          <w:rFonts w:hint="default" w:ascii="Times New Roman" w:eastAsia="仿宋_GB2312"/>
          <w:color w:val="auto"/>
          <w:sz w:val="28"/>
          <w:szCs w:val="28"/>
          <w:highlight w:val="none"/>
        </w:rPr>
        <w:t>4年版）》（以下简称《示范文本》）是根据《中华人民共和国招标投</w:t>
      </w:r>
      <w:r>
        <w:rPr>
          <w:rFonts w:hint="eastAsia" w:ascii="仿宋_GB2312" w:eastAsia="仿宋_GB2312"/>
          <w:color w:val="auto"/>
          <w:sz w:val="28"/>
          <w:szCs w:val="28"/>
          <w:highlight w:val="none"/>
        </w:rPr>
        <w:t>标法》及《中华人民共和国招标投标法实施条例》，结合《标准施工招标文件》</w:t>
      </w:r>
      <w:r>
        <w:rPr>
          <w:rFonts w:hint="eastAsia" w:ascii="仿宋_GB2312" w:hAnsi="Times New Roman" w:eastAsia="仿宋_GB2312" w:cs="Times New Roman"/>
          <w:i w:val="0"/>
          <w:caps w:val="0"/>
          <w:color w:val="333333"/>
          <w:spacing w:val="0"/>
          <w:kern w:val="2"/>
          <w:sz w:val="28"/>
          <w:szCs w:val="28"/>
          <w:highlight w:val="none"/>
          <w:shd w:val="clear" w:fill="auto"/>
          <w:lang w:val="en-US" w:eastAsia="zh-CN" w:bidi="ar"/>
        </w:rPr>
        <w:t>《高标准农田建设质量管理办法（试行）》</w:t>
      </w:r>
      <w:r>
        <w:rPr>
          <w:rFonts w:hint="eastAsia" w:ascii="仿宋_GB2312" w:hAnsi="Times New Roman" w:eastAsia="仿宋_GB2312" w:cs="Times New Roman"/>
          <w:i w:val="0"/>
          <w:caps w:val="0"/>
          <w:color w:val="auto"/>
          <w:spacing w:val="0"/>
          <w:kern w:val="2"/>
          <w:sz w:val="28"/>
          <w:szCs w:val="28"/>
          <w:highlight w:val="none"/>
          <w:shd w:val="clear"/>
          <w:lang w:val="en-US" w:eastAsia="zh-CN" w:bidi="ar"/>
        </w:rPr>
        <w:t>《广州市工程建设项目招标投标管理办法》</w:t>
      </w:r>
      <w:r>
        <w:rPr>
          <w:rFonts w:hint="eastAsia" w:ascii="仿宋_GB2312" w:eastAsia="仿宋_GB2312"/>
          <w:color w:val="auto"/>
          <w:sz w:val="28"/>
          <w:szCs w:val="28"/>
          <w:highlight w:val="none"/>
        </w:rPr>
        <w:t>和招标工作实际编制而成，</w:t>
      </w:r>
      <w:r>
        <w:rPr>
          <w:rFonts w:hint="eastAsia" w:ascii="仿宋_GB2312" w:hAnsi="宋体" w:eastAsia="仿宋_GB2312"/>
          <w:color w:val="auto"/>
          <w:sz w:val="28"/>
          <w:szCs w:val="28"/>
          <w:highlight w:val="none"/>
        </w:rPr>
        <w:t>适用于</w:t>
      </w:r>
      <w:r>
        <w:rPr>
          <w:rFonts w:hint="eastAsia" w:ascii="仿宋_GB2312" w:hAnsi="宋体" w:eastAsia="仿宋_GB2312"/>
          <w:color w:val="auto"/>
          <w:sz w:val="28"/>
          <w:szCs w:val="28"/>
          <w:highlight w:val="none"/>
          <w:lang w:eastAsia="zh-CN"/>
        </w:rPr>
        <w:t>广州市</w:t>
      </w:r>
      <w:r>
        <w:rPr>
          <w:rFonts w:hint="eastAsia" w:ascii="仿宋_GB2312" w:hAnsi="宋体" w:eastAsia="仿宋_GB2312"/>
          <w:color w:val="auto"/>
          <w:sz w:val="28"/>
          <w:szCs w:val="28"/>
          <w:highlight w:val="none"/>
        </w:rPr>
        <w:t>依法必须招标</w:t>
      </w:r>
      <w:r>
        <w:rPr>
          <w:rFonts w:hint="eastAsia" w:ascii="仿宋_GB2312" w:hAnsi="宋体" w:eastAsia="仿宋_GB2312"/>
          <w:color w:val="auto"/>
          <w:sz w:val="28"/>
          <w:szCs w:val="28"/>
          <w:highlight w:val="none"/>
          <w:lang w:eastAsia="zh-CN"/>
        </w:rPr>
        <w:t>以及邀请招标</w:t>
      </w:r>
      <w:r>
        <w:rPr>
          <w:rFonts w:hint="eastAsia" w:ascii="仿宋_GB2312" w:hAnsi="宋体" w:eastAsia="仿宋_GB2312"/>
          <w:color w:val="auto"/>
          <w:sz w:val="28"/>
          <w:szCs w:val="28"/>
          <w:highlight w:val="none"/>
        </w:rPr>
        <w:t>的农田建设</w:t>
      </w:r>
      <w:r>
        <w:rPr>
          <w:rFonts w:hint="eastAsia" w:ascii="仿宋_GB2312" w:hAnsi="宋体" w:eastAsia="仿宋_GB2312"/>
          <w:color w:val="auto"/>
          <w:sz w:val="28"/>
          <w:szCs w:val="28"/>
          <w:highlight w:val="none"/>
          <w:lang w:eastAsia="zh-CN"/>
        </w:rPr>
        <w:t>项目工程</w:t>
      </w:r>
      <w:r>
        <w:rPr>
          <w:rFonts w:hint="eastAsia" w:ascii="仿宋_GB2312" w:hAnsi="宋体" w:eastAsia="仿宋_GB2312"/>
          <w:color w:val="auto"/>
          <w:sz w:val="28"/>
          <w:szCs w:val="28"/>
          <w:highlight w:val="none"/>
        </w:rPr>
        <w:t>施工招标</w:t>
      </w:r>
      <w:r>
        <w:rPr>
          <w:rFonts w:hint="eastAsia" w:ascii="仿宋_GB2312" w:eastAsia="仿宋_GB2312"/>
          <w:color w:val="auto"/>
          <w:sz w:val="28"/>
          <w:szCs w:val="28"/>
          <w:highlight w:val="none"/>
        </w:rPr>
        <w:t>。</w:t>
      </w:r>
    </w:p>
    <w:p>
      <w:pPr>
        <w:spacing w:line="540" w:lineRule="exact"/>
        <w:ind w:firstLine="576" w:firstLineChars="206"/>
        <w:rPr>
          <w:rFonts w:ascii="仿宋_GB2312" w:eastAsia="仿宋_GB2312"/>
          <w:color w:val="auto"/>
          <w:sz w:val="28"/>
          <w:szCs w:val="28"/>
          <w:highlight w:val="none"/>
        </w:rPr>
      </w:pPr>
      <w:r>
        <w:rPr>
          <w:rFonts w:hint="eastAsia" w:ascii="仿宋_GB2312" w:eastAsia="仿宋_GB2312"/>
          <w:color w:val="auto"/>
          <w:sz w:val="28"/>
          <w:szCs w:val="28"/>
          <w:highlight w:val="none"/>
        </w:rPr>
        <w:t>二</w:t>
      </w:r>
      <w:r>
        <w:rPr>
          <w:rFonts w:ascii="仿宋_GB2312" w:eastAsia="仿宋_GB2312"/>
          <w:color w:val="auto"/>
          <w:sz w:val="28"/>
          <w:szCs w:val="28"/>
          <w:highlight w:val="none"/>
        </w:rPr>
        <w:t>、</w:t>
      </w:r>
      <w:r>
        <w:rPr>
          <w:rFonts w:hint="eastAsia" w:ascii="仿宋_GB2312" w:eastAsia="仿宋_GB2312"/>
          <w:color w:val="auto"/>
          <w:sz w:val="28"/>
          <w:szCs w:val="28"/>
          <w:highlight w:val="none"/>
        </w:rPr>
        <w:t>《示范文本》用相同序号标示的章、节、条、款、项、目，供招标人选择使用；以空格标示的由招标人填写的内容，招标人应根据招标项目具体特点和实际需要具体化，确实没有需要填写的，在空格中用“/”标示。</w:t>
      </w:r>
    </w:p>
    <w:p>
      <w:pPr>
        <w:spacing w:line="540" w:lineRule="exact"/>
        <w:ind w:firstLine="576" w:firstLineChars="206"/>
        <w:rPr>
          <w:rFonts w:ascii="仿宋_GB2312" w:eastAsia="仿宋_GB2312"/>
          <w:color w:val="auto"/>
          <w:sz w:val="28"/>
          <w:szCs w:val="28"/>
          <w:highlight w:val="none"/>
        </w:rPr>
      </w:pPr>
      <w:r>
        <w:rPr>
          <w:rFonts w:hint="eastAsia" w:ascii="仿宋_GB2312" w:eastAsia="仿宋_GB2312"/>
          <w:color w:val="auto"/>
          <w:sz w:val="28"/>
          <w:szCs w:val="28"/>
          <w:highlight w:val="none"/>
        </w:rPr>
        <w:t>三、招标人按照《示范文本》第一章招标公告或投标邀请书格式发布招标公告后，将实际发布的招标公告或投标邀请书编入招标文件中，作为投标邀请。其中，招标公告应同时注明发布所在的所有媒介名称。</w:t>
      </w:r>
    </w:p>
    <w:p>
      <w:pPr>
        <w:spacing w:line="540" w:lineRule="exact"/>
        <w:ind w:firstLine="576" w:firstLineChars="206"/>
        <w:rPr>
          <w:rFonts w:ascii="仿宋_GB2312" w:eastAsia="仿宋_GB2312"/>
          <w:color w:val="auto"/>
          <w:sz w:val="28"/>
          <w:szCs w:val="28"/>
          <w:highlight w:val="none"/>
        </w:rPr>
      </w:pPr>
      <w:r>
        <w:rPr>
          <w:rFonts w:hint="eastAsia" w:ascii="仿宋_GB2312" w:eastAsia="仿宋_GB2312"/>
          <w:color w:val="auto"/>
          <w:sz w:val="28"/>
          <w:szCs w:val="28"/>
          <w:highlight w:val="none"/>
        </w:rPr>
        <w:t>四、第二章投标人须知通用条款部分应全文引用。“投标人须知前附表”用于进一步明确“投标人须知通用条款部分”中未尽事宜，招标人应结合招标项目具体特点和实际需要编制和填写，如果填写内容与通用条款部分对应内容有不一致的地方，以“投标人须知前附表”的内容为准。</w:t>
      </w:r>
    </w:p>
    <w:p>
      <w:pPr>
        <w:spacing w:line="540" w:lineRule="exact"/>
        <w:ind w:firstLine="576" w:firstLineChars="206"/>
        <w:rPr>
          <w:rFonts w:ascii="仿宋_GB2312" w:eastAsia="仿宋_GB2312"/>
          <w:sz w:val="28"/>
          <w:szCs w:val="28"/>
        </w:rPr>
      </w:pPr>
      <w:r>
        <w:rPr>
          <w:rFonts w:hint="eastAsia" w:ascii="仿宋_GB2312" w:eastAsia="仿宋_GB2312"/>
          <w:sz w:val="28"/>
          <w:szCs w:val="28"/>
        </w:rPr>
        <w:t>五、第三章“评标办法”规定为</w:t>
      </w:r>
      <w:r>
        <w:rPr>
          <w:rFonts w:hint="eastAsia" w:ascii="仿宋_GB2312" w:eastAsia="仿宋_GB2312"/>
          <w:sz w:val="28"/>
          <w:szCs w:val="28"/>
          <w:lang w:eastAsia="zh-CN"/>
        </w:rPr>
        <w:t>综合评分</w:t>
      </w:r>
      <w:r>
        <w:rPr>
          <w:rFonts w:hint="eastAsia" w:ascii="仿宋_GB2312" w:eastAsia="仿宋_GB2312"/>
          <w:sz w:val="28"/>
          <w:szCs w:val="28"/>
        </w:rPr>
        <w:t>法。“评标办法正文”应全文引用。“评标办法前附表”中各评审因素和评审标准，招标人在使用时不应擅自改变。</w:t>
      </w:r>
    </w:p>
    <w:p>
      <w:pPr>
        <w:spacing w:line="540" w:lineRule="exact"/>
        <w:ind w:firstLine="576" w:firstLineChars="206"/>
        <w:rPr>
          <w:rFonts w:ascii="仿宋_GB2312" w:eastAsia="仿宋_GB2312"/>
          <w:sz w:val="28"/>
          <w:szCs w:val="28"/>
        </w:rPr>
      </w:pPr>
      <w:r>
        <w:rPr>
          <w:rFonts w:hint="eastAsia" w:ascii="仿宋_GB2312" w:eastAsia="仿宋_GB2312"/>
          <w:sz w:val="28"/>
          <w:szCs w:val="28"/>
        </w:rPr>
        <w:t>第三章“评标办法”前附表应列明全部评审因素和评审标准，并在本章</w:t>
      </w:r>
      <w:r>
        <w:rPr>
          <w:rFonts w:hint="eastAsia" w:ascii="仿宋_GB2312" w:hAnsi="仿宋" w:eastAsia="仿宋_GB2312"/>
          <w:sz w:val="28"/>
          <w:szCs w:val="28"/>
        </w:rPr>
        <w:t>（前附表及正文）</w:t>
      </w:r>
      <w:r>
        <w:rPr>
          <w:rFonts w:hint="eastAsia" w:ascii="仿宋_GB2312" w:eastAsia="仿宋_GB2312"/>
          <w:sz w:val="28"/>
          <w:szCs w:val="28"/>
        </w:rPr>
        <w:t>标明投标人不满足其要求即导致投标被否决的全部条款。没有明列的因素和标准不得作为评标的依据。</w:t>
      </w:r>
    </w:p>
    <w:p>
      <w:pPr>
        <w:spacing w:line="540" w:lineRule="exact"/>
        <w:ind w:firstLine="576" w:firstLineChars="206"/>
        <w:rPr>
          <w:rFonts w:ascii="仿宋_GB2312" w:eastAsia="仿宋_GB2312"/>
          <w:sz w:val="28"/>
          <w:szCs w:val="28"/>
        </w:rPr>
      </w:pPr>
      <w:r>
        <w:rPr>
          <w:rFonts w:hint="eastAsia" w:ascii="仿宋_GB2312" w:eastAsia="仿宋_GB2312"/>
          <w:sz w:val="28"/>
          <w:szCs w:val="28"/>
        </w:rPr>
        <w:t>六、第四章“合同条款及格式”中通用合同条款应全文引用。专用合同条款系对通用合同条款进行补充、细化，除通用合同条款明确专用合同条款可作出不同约定外，补充细化的内容不得与通用合同条款规定相抵触，不得</w:t>
      </w:r>
      <w:r>
        <w:rPr>
          <w:rFonts w:hint="eastAsia" w:ascii="仿宋_GB2312" w:eastAsia="仿宋_GB2312"/>
          <w:sz w:val="28"/>
          <w:szCs w:val="28"/>
          <w:lang w:eastAsia="zh-CN"/>
        </w:rPr>
        <w:t>违反法律法规</w:t>
      </w:r>
      <w:r>
        <w:rPr>
          <w:rFonts w:hint="eastAsia" w:ascii="仿宋_GB2312" w:eastAsia="仿宋_GB2312"/>
          <w:sz w:val="28"/>
          <w:szCs w:val="28"/>
        </w:rPr>
        <w:t>和行业规章的有关规定和平等、自愿、公平和诚实信用原则。</w:t>
      </w:r>
    </w:p>
    <w:p>
      <w:pPr>
        <w:spacing w:line="540" w:lineRule="exact"/>
        <w:ind w:firstLine="576" w:firstLineChars="206"/>
        <w:rPr>
          <w:rFonts w:ascii="仿宋_GB2312" w:eastAsia="仿宋_GB2312"/>
          <w:sz w:val="28"/>
          <w:szCs w:val="28"/>
        </w:rPr>
      </w:pPr>
      <w:r>
        <w:rPr>
          <w:rFonts w:hint="eastAsia" w:ascii="仿宋_GB2312" w:eastAsia="仿宋_GB2312"/>
          <w:sz w:val="28"/>
          <w:szCs w:val="28"/>
        </w:rPr>
        <w:t>七、第五章“工程量清单”由招标人根据招标项目具体特点和实际需要编制并提供，但应与“投标人须知”“通用合同条款”“专用合同条款”“技术标准和要求（合同技术条款）”“图纸（招标图纸）”相衔接。</w:t>
      </w:r>
    </w:p>
    <w:p>
      <w:pPr>
        <w:spacing w:line="540" w:lineRule="exact"/>
        <w:ind w:firstLine="576" w:firstLineChars="206"/>
        <w:rPr>
          <w:rFonts w:ascii="仿宋_GB2312" w:eastAsia="仿宋_GB2312"/>
          <w:sz w:val="28"/>
          <w:szCs w:val="28"/>
        </w:rPr>
      </w:pPr>
      <w:r>
        <w:rPr>
          <w:rFonts w:hint="eastAsia" w:ascii="仿宋_GB2312" w:eastAsia="仿宋_GB2312"/>
          <w:sz w:val="28"/>
          <w:szCs w:val="28"/>
        </w:rPr>
        <w:t>八、第六章“图纸（招标图纸）”由招标人根据招标项目具体特点和实际需要编制并提供，但应与“投标人须知”“通用合同条款”“专用合同条款”“技术标准和要求（合同技术条款）”相衔接。</w:t>
      </w:r>
    </w:p>
    <w:p>
      <w:pPr>
        <w:spacing w:line="540" w:lineRule="exact"/>
        <w:ind w:firstLine="576" w:firstLineChars="206"/>
        <w:rPr>
          <w:rFonts w:ascii="仿宋_GB2312" w:eastAsia="仿宋_GB2312"/>
          <w:sz w:val="28"/>
          <w:szCs w:val="28"/>
        </w:rPr>
      </w:pPr>
      <w:r>
        <w:rPr>
          <w:rFonts w:hint="eastAsia" w:ascii="仿宋_GB2312" w:eastAsia="仿宋_GB2312"/>
          <w:sz w:val="28"/>
          <w:szCs w:val="28"/>
        </w:rPr>
        <w:t>九、第七章“技术标准和要求（合同技术条款）</w:t>
      </w:r>
      <w:r>
        <w:rPr>
          <w:rFonts w:ascii="仿宋_GB2312" w:eastAsia="仿宋_GB2312"/>
          <w:sz w:val="28"/>
          <w:szCs w:val="28"/>
        </w:rPr>
        <w:t>”</w:t>
      </w:r>
      <w:r>
        <w:rPr>
          <w:rFonts w:hint="eastAsia" w:ascii="仿宋_GB2312" w:eastAsia="仿宋_GB2312"/>
          <w:sz w:val="28"/>
          <w:szCs w:val="28"/>
        </w:rPr>
        <w:t>由招标人根据招标项目具体特点和实际需要编制并提供，但应注意与“通用合同条款”“专用合同条款”“工程量清单”相衔接。“技术标准和要求（合同技术条款）”应符合国家强制性标准，不得要求或标明某一特定的专利、商标、名称、设计、原产地或生产供应者，不得含有倾向或者排斥投标人的其它内容。如果必须采用，则应有“参照或相当于×××技术标准”字样。</w:t>
      </w:r>
    </w:p>
    <w:p>
      <w:pPr>
        <w:spacing w:line="540" w:lineRule="exact"/>
        <w:ind w:firstLine="576" w:firstLineChars="206"/>
        <w:rPr>
          <w:rFonts w:ascii="仿宋_GB2312" w:eastAsia="仿宋_GB2312"/>
          <w:sz w:val="28"/>
          <w:szCs w:val="28"/>
        </w:rPr>
      </w:pPr>
      <w:r>
        <w:rPr>
          <w:rFonts w:hint="eastAsia" w:ascii="仿宋_GB2312" w:eastAsia="仿宋_GB2312"/>
          <w:sz w:val="28"/>
          <w:szCs w:val="28"/>
        </w:rPr>
        <w:t>“技术标准和要求（合同技术条款）”有关竣工验收（验收）以及质量评定与第四章“合同条款及格式”相关条款不一致时，以第四章“合同条款及格式”中采用的有关条款为准。</w:t>
      </w:r>
    </w:p>
    <w:p>
      <w:pPr>
        <w:spacing w:line="540" w:lineRule="exact"/>
        <w:ind w:firstLine="576" w:firstLineChars="206"/>
        <w:rPr>
          <w:rFonts w:ascii="仿宋_GB2312" w:eastAsia="仿宋_GB2312"/>
          <w:sz w:val="28"/>
          <w:szCs w:val="28"/>
        </w:rPr>
      </w:pPr>
      <w:r>
        <w:rPr>
          <w:rFonts w:hint="eastAsia" w:ascii="仿宋_GB2312" w:eastAsia="仿宋_GB2312"/>
          <w:sz w:val="28"/>
          <w:szCs w:val="28"/>
        </w:rPr>
        <w:t>十、第八章“投标文件格式”供招标人参考使用。</w:t>
      </w:r>
    </w:p>
    <w:p>
      <w:pPr>
        <w:spacing w:line="540" w:lineRule="exact"/>
        <w:ind w:firstLine="576" w:firstLineChars="206"/>
        <w:rPr>
          <w:rFonts w:ascii="仿宋_GB2312" w:hAnsi="Calibri" w:eastAsia="仿宋_GB2312"/>
          <w:sz w:val="28"/>
          <w:szCs w:val="28"/>
        </w:rPr>
      </w:pPr>
      <w:r>
        <w:rPr>
          <w:rFonts w:hint="eastAsia" w:ascii="仿宋_GB2312" w:eastAsia="仿宋_GB2312"/>
          <w:sz w:val="28"/>
          <w:szCs w:val="28"/>
        </w:rPr>
        <w:t>十一、</w:t>
      </w:r>
      <w:r>
        <w:rPr>
          <w:rFonts w:hint="eastAsia" w:ascii="仿宋_GB2312" w:eastAsia="仿宋_GB2312"/>
          <w:sz w:val="28"/>
          <w:szCs w:val="28"/>
          <w:lang w:eastAsia="zh-CN"/>
        </w:rPr>
        <w:t>在</w:t>
      </w:r>
      <w:r>
        <w:rPr>
          <w:rFonts w:hint="eastAsia" w:ascii="仿宋_GB2312" w:hAnsi="Calibri" w:eastAsia="仿宋_GB2312"/>
          <w:sz w:val="28"/>
          <w:szCs w:val="28"/>
        </w:rPr>
        <w:t>市、区电子交易平台使用时自行修改平台网址、</w:t>
      </w:r>
      <w:r>
        <w:rPr>
          <w:rFonts w:hint="eastAsia" w:ascii="仿宋_GB2312" w:hAnsi="Calibri" w:eastAsia="仿宋_GB2312"/>
          <w:sz w:val="28"/>
          <w:szCs w:val="28"/>
          <w:lang w:eastAsia="zh-CN"/>
        </w:rPr>
        <w:t>公开评标</w:t>
      </w:r>
      <w:r>
        <w:rPr>
          <w:rFonts w:hint="eastAsia" w:ascii="仿宋_GB2312" w:hAnsi="Calibri" w:eastAsia="仿宋_GB2312"/>
          <w:sz w:val="28"/>
          <w:szCs w:val="28"/>
        </w:rPr>
        <w:t>地点和公示媒介</w:t>
      </w:r>
      <w:r>
        <w:rPr>
          <w:rFonts w:ascii="仿宋_GB2312" w:hAnsi="Calibri" w:eastAsia="仿宋_GB2312"/>
          <w:sz w:val="28"/>
          <w:szCs w:val="28"/>
        </w:rPr>
        <w:t>、投标保证金递交账户、评标专家确定方式等</w:t>
      </w:r>
      <w:r>
        <w:rPr>
          <w:rFonts w:hint="eastAsia" w:ascii="仿宋_GB2312" w:hAnsi="Calibri" w:eastAsia="仿宋_GB2312"/>
          <w:sz w:val="28"/>
          <w:szCs w:val="28"/>
        </w:rPr>
        <w:t>。</w:t>
      </w:r>
    </w:p>
    <w:p>
      <w:pPr>
        <w:spacing w:line="540" w:lineRule="exact"/>
        <w:ind w:firstLine="576" w:firstLineChars="206"/>
        <w:rPr>
          <w:rFonts w:hint="eastAsia" w:ascii="仿宋_GB2312" w:eastAsia="仿宋_GB2312"/>
          <w:sz w:val="28"/>
          <w:szCs w:val="28"/>
        </w:rPr>
      </w:pPr>
      <w:r>
        <w:rPr>
          <w:rFonts w:hint="eastAsia" w:ascii="仿宋_GB2312" w:eastAsia="仿宋_GB2312"/>
          <w:sz w:val="28"/>
          <w:szCs w:val="28"/>
        </w:rPr>
        <w:t>十二、依据现行国家、省市法规政策和有关要求，结合招标工程特点和实际需要，招标人可以对本</w:t>
      </w:r>
      <w:r>
        <w:rPr>
          <w:rFonts w:hint="eastAsia" w:ascii="仿宋_GB2312" w:eastAsia="仿宋_GB2312"/>
          <w:sz w:val="28"/>
          <w:szCs w:val="28"/>
          <w:lang w:val="en-US" w:eastAsia="zh-CN"/>
        </w:rPr>
        <w:t>示范文本</w:t>
      </w:r>
      <w:r>
        <w:rPr>
          <w:rFonts w:hint="eastAsia" w:ascii="仿宋_GB2312" w:eastAsia="仿宋_GB2312"/>
          <w:sz w:val="28"/>
          <w:szCs w:val="28"/>
        </w:rPr>
        <w:t>中相应条款内容进行修改，招标人提出与</w:t>
      </w:r>
      <w:r>
        <w:rPr>
          <w:rFonts w:hint="eastAsia" w:ascii="仿宋_GB2312" w:eastAsia="仿宋_GB2312"/>
          <w:sz w:val="28"/>
          <w:szCs w:val="28"/>
          <w:lang w:val="en-US" w:eastAsia="zh-CN"/>
        </w:rPr>
        <w:t>示范文本</w:t>
      </w:r>
      <w:r>
        <w:rPr>
          <w:rFonts w:hint="eastAsia" w:ascii="仿宋_GB2312" w:eastAsia="仿宋_GB2312"/>
          <w:sz w:val="28"/>
          <w:szCs w:val="28"/>
        </w:rPr>
        <w:t>不一致条款的，应当在各章节前的修改表中反映。</w:t>
      </w:r>
    </w:p>
    <w:p>
      <w:pPr>
        <w:spacing w:line="540" w:lineRule="exact"/>
        <w:ind w:firstLine="576" w:firstLineChars="206"/>
        <w:rPr>
          <w:rFonts w:ascii="仿宋_GB2312" w:eastAsia="仿宋_GB2312"/>
          <w:sz w:val="28"/>
          <w:szCs w:val="28"/>
        </w:rPr>
      </w:pPr>
      <w:r>
        <w:rPr>
          <w:rFonts w:hint="eastAsia" w:ascii="仿宋_GB2312" w:eastAsia="仿宋_GB2312"/>
          <w:sz w:val="28"/>
          <w:szCs w:val="28"/>
          <w:lang w:val="en-US" w:eastAsia="zh-CN"/>
        </w:rPr>
        <w:t>十三、</w:t>
      </w:r>
      <w:r>
        <w:rPr>
          <w:rFonts w:hint="eastAsia" w:ascii="仿宋_GB2312" w:hAnsi="Calibri" w:eastAsia="仿宋_GB2312"/>
          <w:sz w:val="28"/>
          <w:szCs w:val="28"/>
        </w:rPr>
        <w:t>《示</w:t>
      </w:r>
      <w:r>
        <w:rPr>
          <w:rFonts w:hint="default" w:ascii="Times New Roman" w:hAnsi="Times New Roman" w:eastAsia="仿宋_GB2312"/>
          <w:sz w:val="28"/>
          <w:szCs w:val="28"/>
        </w:rPr>
        <w:t>范文本》为2024年版，将根据实际执行过程中出现的问题及时进行修改。</w:t>
      </w:r>
      <w:r>
        <w:rPr>
          <w:rFonts w:ascii="Times New Roman" w:hAnsi="Times New Roman" w:eastAsia="仿宋_GB2312"/>
          <w:sz w:val="28"/>
          <w:szCs w:val="28"/>
        </w:rPr>
        <w:t>执行过程中，国家、省出台新的文件规定与本</w:t>
      </w:r>
      <w:r>
        <w:rPr>
          <w:rFonts w:hint="default" w:ascii="Times New Roman" w:hAnsi="Times New Roman" w:eastAsia="仿宋_GB2312"/>
          <w:sz w:val="28"/>
          <w:szCs w:val="28"/>
        </w:rPr>
        <w:t>示范文本</w:t>
      </w:r>
      <w:r>
        <w:rPr>
          <w:rFonts w:ascii="Times New Roman" w:hAnsi="Times New Roman" w:eastAsia="仿宋_GB2312"/>
          <w:sz w:val="28"/>
          <w:szCs w:val="28"/>
        </w:rPr>
        <w:t>要求不一致的，可按照国家</w:t>
      </w:r>
      <w:r>
        <w:rPr>
          <w:rFonts w:ascii="仿宋_GB2312" w:hAnsi="Calibri" w:eastAsia="仿宋_GB2312"/>
          <w:sz w:val="28"/>
          <w:szCs w:val="28"/>
        </w:rPr>
        <w:t>、省出台新的文件规定执行。</w:t>
      </w:r>
      <w:r>
        <w:rPr>
          <w:rFonts w:hint="eastAsia" w:ascii="仿宋_GB2312" w:hAnsi="Calibri" w:eastAsia="仿宋_GB2312"/>
          <w:sz w:val="28"/>
          <w:szCs w:val="28"/>
        </w:rPr>
        <w:t>各使用单位或个人对《示范文本》的修改意见和建议，可向</w:t>
      </w:r>
      <w:r>
        <w:rPr>
          <w:rFonts w:hint="eastAsia" w:ascii="仿宋_GB2312" w:hAnsi="Calibri" w:eastAsia="仿宋_GB2312"/>
          <w:sz w:val="28"/>
          <w:szCs w:val="28"/>
          <w:lang w:eastAsia="zh-CN"/>
        </w:rPr>
        <w:t>广州市农业农村局</w:t>
      </w:r>
      <w:r>
        <w:rPr>
          <w:rFonts w:hint="eastAsia" w:ascii="仿宋_GB2312" w:hAnsi="Calibri" w:eastAsia="仿宋_GB2312"/>
          <w:sz w:val="28"/>
          <w:szCs w:val="28"/>
        </w:rPr>
        <w:t>反映。</w:t>
      </w:r>
    </w:p>
    <w:p>
      <w:pPr>
        <w:spacing w:line="540" w:lineRule="exact"/>
        <w:ind w:firstLine="576" w:firstLineChars="206"/>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参编单位：广州市农业农村局</w:t>
      </w:r>
    </w:p>
    <w:p>
      <w:pPr>
        <w:spacing w:line="540" w:lineRule="exact"/>
        <w:ind w:firstLine="1960" w:firstLineChars="700"/>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广东湘成工程咨询有限公司</w:t>
      </w:r>
    </w:p>
    <w:p>
      <w:pPr>
        <w:spacing w:line="540" w:lineRule="exact"/>
        <w:ind w:firstLine="1960" w:firstLineChars="700"/>
        <w:rPr>
          <w:rFonts w:hint="eastAsia" w:ascii="仿宋_GB2312" w:eastAsia="仿宋_GB2312"/>
          <w:sz w:val="28"/>
          <w:szCs w:val="28"/>
        </w:rPr>
      </w:pPr>
      <w:r>
        <w:rPr>
          <w:rFonts w:hint="eastAsia" w:ascii="仿宋_GB2312" w:eastAsia="仿宋_GB2312"/>
          <w:sz w:val="28"/>
          <w:szCs w:val="28"/>
        </w:rPr>
        <w:t>公诚管理咨询有限公司</w:t>
      </w:r>
    </w:p>
    <w:p>
      <w:pPr>
        <w:spacing w:line="540" w:lineRule="exact"/>
        <w:ind w:firstLine="432" w:firstLineChars="206"/>
        <w:rPr>
          <w:rFonts w:ascii="宋体" w:hAnsi="宋体" w:eastAsia="仿宋_GB2312" w:cs="宋体"/>
          <w:color w:val="auto"/>
          <w:sz w:val="24"/>
          <w:highlight w:val="none"/>
        </w:rPr>
      </w:pPr>
      <w:r>
        <w:rPr>
          <w:rFonts w:hint="eastAsia"/>
          <w:color w:val="auto"/>
          <w:highlight w:val="none"/>
          <w:lang w:val="en-US" w:eastAsia="zh-CN"/>
        </w:rPr>
        <w:t xml:space="preserve"> </w:t>
      </w:r>
      <w:r>
        <w:rPr>
          <w:rFonts w:hint="eastAsia" w:ascii="仿宋_GB2312" w:eastAsia="仿宋_GB2312"/>
          <w:color w:val="auto"/>
          <w:sz w:val="28"/>
          <w:szCs w:val="28"/>
          <w:highlight w:val="none"/>
        </w:rPr>
        <w:t>联系电话：（</w:t>
      </w:r>
      <w:r>
        <w:rPr>
          <w:rFonts w:hint="eastAsia" w:eastAsia="仿宋_GB2312"/>
          <w:color w:val="auto"/>
          <w:sz w:val="28"/>
          <w:szCs w:val="28"/>
          <w:highlight w:val="none"/>
        </w:rPr>
        <w:t>020</w:t>
      </w:r>
      <w:r>
        <w:rPr>
          <w:rFonts w:hint="eastAsia" w:ascii="仿宋_GB2312" w:eastAsia="仿宋_GB2312"/>
          <w:color w:val="auto"/>
          <w:sz w:val="28"/>
          <w:szCs w:val="28"/>
          <w:highlight w:val="none"/>
        </w:rPr>
        <w:t>）</w:t>
      </w:r>
      <w:r>
        <w:rPr>
          <w:rFonts w:hint="eastAsia" w:eastAsia="仿宋_GB2312"/>
          <w:color w:val="auto"/>
          <w:sz w:val="28"/>
          <w:szCs w:val="28"/>
          <w:highlight w:val="none"/>
        </w:rPr>
        <w:t>86378249</w:t>
      </w: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sectPr>
          <w:footerReference r:id="rId4" w:type="default"/>
          <w:pgSz w:w="11906" w:h="16838"/>
          <w:pgMar w:top="1440" w:right="1797" w:bottom="1440" w:left="1797" w:header="851" w:footer="992" w:gutter="0"/>
          <w:pgNumType w:fmt="decimal" w:start="1"/>
          <w:cols w:space="720" w:num="1"/>
          <w:docGrid w:linePitch="312" w:charSpace="0"/>
        </w:sectPr>
      </w:pP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pPr>
    </w:p>
    <w:p>
      <w:pPr>
        <w:jc w:val="center"/>
        <w:rPr>
          <w:rFonts w:ascii="宋体" w:hAnsi="宋体" w:cs="宋体"/>
          <w:color w:val="auto"/>
          <w:sz w:val="28"/>
          <w:szCs w:val="28"/>
          <w:highlight w:val="none"/>
          <w:u w:val="single"/>
        </w:rPr>
      </w:pPr>
    </w:p>
    <w:p>
      <w:pPr>
        <w:jc w:val="center"/>
        <w:rPr>
          <w:rFonts w:ascii="黑体" w:hAnsi="黑体" w:eastAsia="黑体" w:cs="宋体"/>
          <w:b/>
          <w:color w:val="auto"/>
          <w:sz w:val="32"/>
          <w:szCs w:val="32"/>
          <w:highlight w:val="none"/>
        </w:rPr>
      </w:pPr>
      <w:bookmarkStart w:id="20" w:name="_Toc221949912"/>
      <w:r>
        <w:rPr>
          <w:rFonts w:hint="eastAsia" w:ascii="宋体" w:hAnsi="宋体" w:cs="宋体"/>
          <w:b/>
          <w:color w:val="auto"/>
          <w:sz w:val="32"/>
          <w:szCs w:val="32"/>
          <w:highlight w:val="none"/>
        </w:rPr>
        <w:t>（项目名称）</w:t>
      </w:r>
      <w:bookmarkEnd w:id="20"/>
      <w:r>
        <w:rPr>
          <w:rFonts w:hint="eastAsia" w:ascii="黑体" w:hAnsi="黑体" w:eastAsia="黑体" w:cs="宋体"/>
          <w:b/>
          <w:color w:val="auto"/>
          <w:sz w:val="32"/>
          <w:szCs w:val="32"/>
          <w:highlight w:val="none"/>
        </w:rPr>
        <w:t xml:space="preserve">施工招标 </w:t>
      </w:r>
    </w:p>
    <w:p>
      <w:pPr>
        <w:jc w:val="center"/>
        <w:rPr>
          <w:rFonts w:ascii="宋体" w:hAnsi="宋体" w:cs="宋体"/>
          <w:color w:val="auto"/>
          <w:sz w:val="28"/>
          <w:szCs w:val="28"/>
          <w:highlight w:val="none"/>
        </w:rPr>
      </w:pPr>
    </w:p>
    <w:p>
      <w:pPr>
        <w:jc w:val="center"/>
        <w:rPr>
          <w:rFonts w:ascii="宋体" w:hAnsi="宋体" w:cs="宋体"/>
          <w:color w:val="auto"/>
          <w:sz w:val="28"/>
          <w:szCs w:val="28"/>
          <w:highlight w:val="none"/>
        </w:rPr>
      </w:pPr>
    </w:p>
    <w:p>
      <w:pPr>
        <w:jc w:val="center"/>
        <w:rPr>
          <w:rFonts w:ascii="宋体" w:hAnsi="宋体" w:cs="宋体"/>
          <w:color w:val="auto"/>
          <w:sz w:val="28"/>
          <w:szCs w:val="28"/>
          <w:highlight w:val="none"/>
        </w:rPr>
      </w:pPr>
    </w:p>
    <w:p>
      <w:pPr>
        <w:jc w:val="center"/>
        <w:rPr>
          <w:rFonts w:ascii="宋体" w:hAnsi="宋体" w:cs="宋体"/>
          <w:color w:val="auto"/>
          <w:sz w:val="28"/>
          <w:szCs w:val="28"/>
          <w:highlight w:val="none"/>
        </w:rPr>
      </w:pPr>
    </w:p>
    <w:p>
      <w:pPr>
        <w:jc w:val="center"/>
        <w:rPr>
          <w:rFonts w:ascii="黑体" w:hAnsi="黑体" w:eastAsia="黑体" w:cs="宋体"/>
          <w:color w:val="auto"/>
          <w:sz w:val="72"/>
          <w:szCs w:val="72"/>
          <w:highlight w:val="none"/>
        </w:rPr>
      </w:pPr>
      <w:bookmarkStart w:id="21" w:name="_Toc221949913"/>
      <w:r>
        <w:rPr>
          <w:rFonts w:hint="eastAsia" w:ascii="黑体" w:hAnsi="黑体" w:eastAsia="黑体" w:cs="宋体"/>
          <w:color w:val="auto"/>
          <w:sz w:val="72"/>
          <w:szCs w:val="72"/>
          <w:highlight w:val="none"/>
        </w:rPr>
        <w:t>招   标  文  件</w:t>
      </w:r>
      <w:bookmarkEnd w:id="21"/>
    </w:p>
    <w:p>
      <w:pPr>
        <w:spacing w:line="400" w:lineRule="exact"/>
        <w:jc w:val="center"/>
        <w:rPr>
          <w:rFonts w:ascii="宋体" w:hAnsi="宋体" w:cs="宋体"/>
          <w:color w:val="auto"/>
          <w:highlight w:val="none"/>
        </w:rPr>
      </w:pPr>
    </w:p>
    <w:p>
      <w:pPr>
        <w:spacing w:line="400" w:lineRule="exact"/>
        <w:ind w:firstLine="2100" w:firstLineChars="750"/>
        <w:rPr>
          <w:rFonts w:ascii="宋体" w:hAnsi="宋体" w:cs="宋体"/>
          <w:color w:val="auto"/>
          <w:sz w:val="28"/>
          <w:szCs w:val="28"/>
          <w:highlight w:val="none"/>
          <w:u w:val="single"/>
        </w:rPr>
      </w:pPr>
    </w:p>
    <w:p>
      <w:pPr>
        <w:pStyle w:val="15"/>
        <w:rPr>
          <w:color w:val="auto"/>
          <w:highlight w:val="none"/>
        </w:rPr>
      </w:pPr>
    </w:p>
    <w:p>
      <w:pPr>
        <w:spacing w:line="400" w:lineRule="exact"/>
        <w:jc w:val="center"/>
        <w:rPr>
          <w:rFonts w:ascii="宋体" w:hAnsi="宋体" w:cs="宋体"/>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jc w:val="center"/>
        <w:rPr>
          <w:rFonts w:ascii="宋体" w:hAnsi="宋体" w:cs="宋体"/>
          <w:b/>
          <w:color w:val="auto"/>
          <w:sz w:val="32"/>
          <w:szCs w:val="32"/>
          <w:highlight w:val="none"/>
        </w:rPr>
      </w:pPr>
      <w:bookmarkStart w:id="22" w:name="_Toc221949915"/>
      <w:r>
        <w:rPr>
          <w:rFonts w:hint="eastAsia" w:ascii="宋体" w:hAnsi="宋体" w:cs="宋体"/>
          <w:b/>
          <w:color w:val="auto"/>
          <w:sz w:val="32"/>
          <w:szCs w:val="32"/>
          <w:highlight w:val="none"/>
        </w:rPr>
        <w:t>招标人：（盖章）</w:t>
      </w:r>
    </w:p>
    <w:p>
      <w:pPr>
        <w:jc w:val="center"/>
        <w:rPr>
          <w:rFonts w:ascii="宋体" w:hAnsi="宋体" w:cs="宋体"/>
          <w:b/>
          <w:color w:val="auto"/>
          <w:sz w:val="32"/>
          <w:szCs w:val="32"/>
          <w:highlight w:val="none"/>
        </w:rPr>
      </w:pPr>
      <w:r>
        <w:rPr>
          <w:rFonts w:hint="eastAsia" w:ascii="宋体" w:hAnsi="宋体" w:cs="宋体"/>
          <w:b/>
          <w:color w:val="auto"/>
          <w:sz w:val="32"/>
          <w:szCs w:val="32"/>
          <w:highlight w:val="none"/>
        </w:rPr>
        <w:t>招标代理机构：（盖章）</w:t>
      </w:r>
      <w:bookmarkEnd w:id="22"/>
    </w:p>
    <w:p>
      <w:pPr>
        <w:rPr>
          <w:rFonts w:ascii="宋体" w:hAnsi="宋体" w:cs="宋体"/>
          <w:color w:val="auto"/>
          <w:sz w:val="28"/>
          <w:szCs w:val="28"/>
          <w:highlight w:val="none"/>
          <w:u w:val="single"/>
        </w:rPr>
      </w:pPr>
    </w:p>
    <w:p>
      <w:pPr>
        <w:ind w:firstLine="2951" w:firstLineChars="1050"/>
        <w:rPr>
          <w:rFonts w:ascii="宋体" w:hAnsi="宋体" w:cs="宋体"/>
          <w:b/>
          <w:color w:val="auto"/>
          <w:sz w:val="28"/>
          <w:szCs w:val="28"/>
          <w:highlight w:val="none"/>
        </w:rPr>
      </w:pPr>
      <w:bookmarkStart w:id="23" w:name="_Toc221949917"/>
      <w:r>
        <w:rPr>
          <w:rFonts w:hint="eastAsia" w:ascii="宋体" w:hAnsi="宋体" w:cs="宋体"/>
          <w:b/>
          <w:color w:val="auto"/>
          <w:sz w:val="28"/>
          <w:szCs w:val="28"/>
          <w:highlight w:val="none"/>
        </w:rPr>
        <w:t>年</w:t>
      </w:r>
      <w:r>
        <w:rPr>
          <w:rFonts w:hint="eastAsia" w:ascii="宋体" w:hAnsi="宋体" w:cs="宋体"/>
          <w:b/>
          <w:color w:val="auto"/>
          <w:sz w:val="28"/>
          <w:szCs w:val="28"/>
          <w:highlight w:val="none"/>
          <w:lang w:val="en-US" w:eastAsia="zh-CN"/>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lang w:val="en-US" w:eastAsia="zh-CN"/>
        </w:rPr>
        <w:t xml:space="preserve">   </w:t>
      </w:r>
      <w:r>
        <w:rPr>
          <w:rFonts w:hint="eastAsia" w:ascii="宋体" w:hAnsi="宋体" w:cs="宋体"/>
          <w:b/>
          <w:color w:val="auto"/>
          <w:sz w:val="28"/>
          <w:szCs w:val="28"/>
          <w:highlight w:val="none"/>
        </w:rPr>
        <w:t>日</w:t>
      </w:r>
      <w:bookmarkEnd w:id="23"/>
    </w:p>
    <w:p>
      <w:pPr>
        <w:pStyle w:val="10"/>
        <w:jc w:val="center"/>
        <w:rPr>
          <w:rFonts w:hAnsi="宋体" w:cs="宋体"/>
          <w:b/>
          <w:snapToGrid w:val="0"/>
          <w:color w:val="auto"/>
          <w:kern w:val="0"/>
          <w:sz w:val="32"/>
          <w:szCs w:val="32"/>
          <w:highlight w:val="none"/>
        </w:rPr>
      </w:pPr>
    </w:p>
    <w:p>
      <w:pPr>
        <w:pStyle w:val="10"/>
        <w:jc w:val="center"/>
        <w:rPr>
          <w:rFonts w:hAnsi="宋体" w:cs="宋体"/>
          <w:b/>
          <w:snapToGrid w:val="0"/>
          <w:color w:val="auto"/>
          <w:kern w:val="0"/>
          <w:sz w:val="32"/>
          <w:szCs w:val="32"/>
          <w:highlight w:val="none"/>
        </w:rPr>
      </w:pPr>
    </w:p>
    <w:p>
      <w:pPr>
        <w:pStyle w:val="10"/>
        <w:jc w:val="center"/>
        <w:rPr>
          <w:rFonts w:hAnsi="宋体" w:cs="宋体"/>
          <w:b/>
          <w:snapToGrid w:val="0"/>
          <w:color w:val="auto"/>
          <w:kern w:val="0"/>
          <w:sz w:val="32"/>
          <w:szCs w:val="32"/>
          <w:highlight w:val="none"/>
        </w:rPr>
      </w:pPr>
    </w:p>
    <w:p>
      <w:pPr>
        <w:pStyle w:val="10"/>
        <w:jc w:val="center"/>
        <w:rPr>
          <w:rFonts w:hAnsi="宋体" w:cs="宋体"/>
          <w:b/>
          <w:snapToGrid w:val="0"/>
          <w:color w:val="auto"/>
          <w:kern w:val="0"/>
          <w:sz w:val="32"/>
          <w:szCs w:val="32"/>
          <w:highlight w:val="none"/>
        </w:rPr>
        <w:sectPr>
          <w:footerReference r:id="rId5" w:type="default"/>
          <w:pgSz w:w="11906" w:h="16838"/>
          <w:pgMar w:top="1440" w:right="1797" w:bottom="1440" w:left="1797" w:header="851" w:footer="992" w:gutter="0"/>
          <w:pgNumType w:fmt="decimal"/>
          <w:cols w:space="720" w:num="1"/>
          <w:docGrid w:linePitch="312" w:charSpace="0"/>
        </w:sectPr>
      </w:pPr>
    </w:p>
    <w:p>
      <w:pPr>
        <w:pStyle w:val="10"/>
        <w:jc w:val="center"/>
        <w:rPr>
          <w:rFonts w:hAnsi="宋体" w:cs="宋体"/>
          <w:color w:val="auto"/>
          <w:highlight w:val="none"/>
        </w:rPr>
      </w:pPr>
      <w:bookmarkStart w:id="24" w:name="_Toc221949919"/>
      <w:bookmarkStart w:id="25" w:name="_Toc387753530"/>
    </w:p>
    <w:p>
      <w:pPr>
        <w:jc w:val="center"/>
        <w:outlineLvl w:val="0"/>
        <w:rPr>
          <w:b/>
          <w:color w:val="auto"/>
          <w:sz w:val="28"/>
          <w:szCs w:val="28"/>
          <w:highlight w:val="none"/>
        </w:rPr>
      </w:pPr>
      <w:bookmarkStart w:id="26" w:name="_Toc28223"/>
      <w:bookmarkStart w:id="27" w:name="_Toc2834"/>
      <w:r>
        <w:rPr>
          <w:rFonts w:ascii="宋体" w:hAnsi="宋体"/>
          <w:b/>
          <w:color w:val="auto"/>
          <w:sz w:val="28"/>
          <w:szCs w:val="28"/>
          <w:highlight w:val="none"/>
        </w:rPr>
        <w:t>目 录</w:t>
      </w:r>
      <w:bookmarkEnd w:id="26"/>
      <w:bookmarkEnd w:id="27"/>
    </w:p>
    <w:p>
      <w:pPr>
        <w:pStyle w:val="17"/>
        <w:tabs>
          <w:tab w:val="right" w:leader="dot" w:pos="8312"/>
        </w:tabs>
        <w:rPr>
          <w:rFonts w:hint="eastAsia" w:ascii="宋体" w:hAnsi="宋体" w:eastAsia="宋体" w:cs="宋体"/>
          <w:color w:val="auto"/>
          <w:highlight w:val="none"/>
        </w:rPr>
      </w:pPr>
      <w:r>
        <w:rPr>
          <w:rFonts w:hint="eastAsia" w:ascii="宋体" w:hAnsi="宋体" w:eastAsia="宋体" w:cs="宋体"/>
          <w:b w:val="0"/>
          <w:color w:val="auto"/>
          <w:sz w:val="21"/>
          <w:szCs w:val="21"/>
          <w:highlight w:val="none"/>
        </w:rPr>
        <w:fldChar w:fldCharType="begin"/>
      </w:r>
      <w:r>
        <w:rPr>
          <w:rFonts w:hint="eastAsia" w:ascii="宋体" w:hAnsi="宋体" w:eastAsia="宋体" w:cs="宋体"/>
          <w:b w:val="0"/>
          <w:color w:val="auto"/>
          <w:sz w:val="21"/>
          <w:szCs w:val="21"/>
          <w:highlight w:val="none"/>
        </w:rPr>
        <w:instrText xml:space="preserve"> TOC \o "1-3" \h \u </w:instrText>
      </w:r>
      <w:r>
        <w:rPr>
          <w:rFonts w:hint="eastAsia" w:ascii="宋体" w:hAnsi="宋体" w:eastAsia="宋体" w:cs="宋体"/>
          <w:b w:val="0"/>
          <w:color w:val="auto"/>
          <w:sz w:val="21"/>
          <w:szCs w:val="21"/>
          <w:highlight w:val="none"/>
        </w:rPr>
        <w:fldChar w:fldCharType="separate"/>
      </w:r>
    </w:p>
    <w:p>
      <w:pPr>
        <w:pStyle w:val="17"/>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_Toc423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第  一  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_Toc423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_Toc3135 </w:instrText>
      </w:r>
      <w:r>
        <w:rPr>
          <w:rFonts w:hint="eastAsia" w:ascii="宋体" w:hAnsi="宋体" w:eastAsia="宋体" w:cs="宋体"/>
          <w:color w:val="auto"/>
          <w:sz w:val="21"/>
          <w:szCs w:val="21"/>
          <w:highlight w:val="none"/>
        </w:rPr>
        <w:fldChar w:fldCharType="separate"/>
      </w:r>
      <w:r>
        <w:rPr>
          <w:rFonts w:hint="eastAsia" w:ascii="宋体" w:hAnsi="宋体" w:cs="宋体"/>
          <w:bCs w:val="0"/>
          <w:color w:val="auto"/>
          <w:sz w:val="21"/>
          <w:szCs w:val="21"/>
          <w:highlight w:val="none"/>
          <w:lang w:eastAsia="zh-CN"/>
        </w:rPr>
        <w:t>第一章</w:t>
      </w:r>
      <w:r>
        <w:rPr>
          <w:rFonts w:hint="eastAsia" w:ascii="宋体" w:hAnsi="宋体" w:eastAsia="宋体" w:cs="宋体"/>
          <w:bCs w:val="0"/>
          <w:color w:val="auto"/>
          <w:sz w:val="21"/>
          <w:szCs w:val="21"/>
          <w:highlight w:val="none"/>
        </w:rPr>
        <w:t xml:space="preserve"> 招标公告</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_Toc3135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_Toc8356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 招标条件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_Toc8356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_Toc2394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 项目概况与招标范围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_Toc2394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_Toc22069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 投标人资格要求</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_Toc22069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_Toc12445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 招标文件的获取</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_Toc12445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_Toc7337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 公告发布日期、递交投标文件时间与开标时间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_Toc7337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_Toc27692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6.投标相关事宜</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_Toc27692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_Toc29276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7.资格审查方式评标办法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_Toc29276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_Toc12949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 发布公告的媒介</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_Toc12949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_Toc9917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9. 异议方式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_Toc9917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_Toc30424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10.联系方式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_Toc30424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_Toc8541 </w:instrText>
      </w:r>
      <w:r>
        <w:rPr>
          <w:rFonts w:hint="eastAsia" w:ascii="宋体" w:hAnsi="宋体" w:eastAsia="宋体" w:cs="宋体"/>
          <w:color w:val="auto"/>
          <w:sz w:val="21"/>
          <w:szCs w:val="21"/>
          <w:highlight w:val="none"/>
        </w:rPr>
        <w:fldChar w:fldCharType="separate"/>
      </w:r>
      <w:r>
        <w:rPr>
          <w:rFonts w:hint="eastAsia" w:ascii="宋体" w:hAnsi="宋体" w:cs="宋体"/>
          <w:bCs w:val="0"/>
          <w:color w:val="auto"/>
          <w:sz w:val="21"/>
          <w:szCs w:val="21"/>
          <w:highlight w:val="none"/>
          <w:lang w:eastAsia="zh-CN"/>
        </w:rPr>
        <w:t>第一章</w:t>
      </w:r>
      <w:r>
        <w:rPr>
          <w:rFonts w:hint="eastAsia" w:ascii="宋体" w:hAnsi="宋体" w:eastAsia="宋体" w:cs="宋体"/>
          <w:bCs w:val="0"/>
          <w:color w:val="auto"/>
          <w:sz w:val="21"/>
          <w:szCs w:val="21"/>
          <w:highlight w:val="none"/>
        </w:rPr>
        <w:t xml:space="preserve"> 投标邀请书（适用于邀请招标）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_Toc8541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_Toc22582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 招标条件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_Toc22582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_Toc7662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 项目概况与招标范围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_Toc7662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_Toc27016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 投标人资格要求</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_Toc27016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_Toc9895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 招标文件的获取</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_Toc9895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 递交投标文件时间与开标时间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_Toc10439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6.投标相关事宜</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_Toc10439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_Toc2574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7.资格审查方式及评标办法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_Toc2574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_Toc9512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8.异议方式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end"/>
      </w:r>
      <w:r>
        <w:rPr>
          <w:rFonts w:hint="eastAsia" w:ascii="宋体" w:hAnsi="宋体" w:cs="宋体"/>
          <w:color w:val="auto"/>
          <w:sz w:val="21"/>
          <w:szCs w:val="21"/>
          <w:highlight w:val="none"/>
          <w:lang w:val="en-US" w:eastAsia="zh-CN"/>
        </w:rPr>
        <w:t>17</w:t>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0" w:firstLineChars="1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_Toc9980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end"/>
      </w:r>
      <w:r>
        <w:rPr>
          <w:rFonts w:hint="eastAsia" w:ascii="宋体" w:hAnsi="宋体" w:cs="宋体"/>
          <w:color w:val="auto"/>
          <w:sz w:val="21"/>
          <w:szCs w:val="21"/>
          <w:highlight w:val="none"/>
          <w:lang w:val="en-US" w:eastAsia="zh-CN"/>
        </w:rPr>
        <w:t>17</w:t>
      </w:r>
    </w:p>
    <w:p>
      <w:pPr>
        <w:pStyle w:val="17"/>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_Toc7858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第二章</w:t>
      </w:r>
      <w:r>
        <w:rPr>
          <w:rFonts w:hint="eastAsia" w:ascii="宋体" w:hAnsi="宋体" w:eastAsia="宋体" w:cs="宋体"/>
          <w:color w:val="auto"/>
          <w:sz w:val="21"/>
          <w:szCs w:val="21"/>
          <w:highlight w:val="none"/>
        </w:rPr>
        <w:t xml:space="preserve"> 投标人须知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_Toc7858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_Toc19442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投标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须知修改表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_Toc19442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_Toc8567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投标人须知前附表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_Toc8567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_Toc31179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投标人须知</w:t>
      </w:r>
      <w:r>
        <w:rPr>
          <w:rFonts w:hint="eastAsia" w:ascii="宋体" w:hAnsi="宋体" w:eastAsia="宋体" w:cs="宋体"/>
          <w:color w:val="auto"/>
          <w:sz w:val="21"/>
          <w:szCs w:val="21"/>
          <w:highlight w:val="none"/>
          <w:lang w:val="en-US" w:eastAsia="zh-CN"/>
        </w:rPr>
        <w:t>通用条款</w:t>
      </w:r>
      <w:r>
        <w:rPr>
          <w:rFonts w:hint="eastAsia" w:ascii="宋体" w:hAnsi="宋体" w:eastAsia="宋体" w:cs="宋体"/>
          <w:color w:val="auto"/>
          <w:sz w:val="21"/>
          <w:szCs w:val="21"/>
          <w:highlight w:val="none"/>
        </w:rPr>
        <w:t>部分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_Toc31179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_Toc21527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 总则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_Toc21527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_Toc3807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 招标文件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_Toc3807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_Toc13403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 投标文件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_Toc13403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_Toc9415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 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_Toc9415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_Toc15570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 开标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_Toc15570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_Toc16277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 评标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_Toc16277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_Toc8620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 合同授予</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_Toc8620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_Toc1341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 重新招标、不再招标和终止招标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_Toc1341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_Toc14675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 纪律和监督</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_Toc14675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_Toc3685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 需要补充的其他内容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_Toc3685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_Toc5279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附表一：投标确认书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_Toc5279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_Toc9792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附表二：招标文件澄清申请函</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_Toc9792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_Toc25905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附表三：招标文件澄清通知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_Toc25905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_Toc8724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附表四：招标文件修改通知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_Toc8724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_Toc16059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附表五：投标文件递交签收凭证</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_Toc16059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_Toc28037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附表六：开标记录表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_Toc28037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_Toc5846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附表七：投标文件问题澄清通知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_Toc5846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_Toc28166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附表八：投标文件问题的澄清函</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_Toc28166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_Toc21120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附表九：中标通知书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_Toc21120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_Toc31908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附表十：中标结果通知书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_Toc31908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_Toc30320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lang w:val="en-US" w:eastAsia="zh-CN"/>
        </w:rPr>
        <w:t>附表十一：异议</w:t>
      </w:r>
      <w:r>
        <w:rPr>
          <w:rFonts w:hint="eastAsia" w:ascii="宋体" w:hAnsi="宋体" w:eastAsia="宋体" w:cs="宋体"/>
          <w:bCs/>
          <w:color w:val="auto"/>
          <w:sz w:val="21"/>
          <w:szCs w:val="21"/>
          <w:highlight w:val="none"/>
        </w:rPr>
        <w:t>函</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_Toc30320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_Toc25495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附表十二：异议答复函</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_Toc25495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_Toc754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rPr>
        <w:t>附表十三：授权委托书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_Toc754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_Toc19746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color w:val="auto"/>
          <w:sz w:val="21"/>
          <w:szCs w:val="21"/>
          <w:highlight w:val="none"/>
          <w:lang w:val="en-US" w:eastAsia="zh-CN"/>
        </w:rPr>
        <w:t>附件十四：抽取评标基准价的下浮率记录表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_Toc19746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7"/>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211"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_Toc8125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第三章</w:t>
      </w:r>
      <w:r>
        <w:rPr>
          <w:rFonts w:hint="eastAsia" w:ascii="宋体" w:hAnsi="宋体" w:eastAsia="宋体" w:cs="宋体"/>
          <w:color w:val="auto"/>
          <w:sz w:val="21"/>
          <w:szCs w:val="21"/>
          <w:highlight w:val="none"/>
        </w:rPr>
        <w:t xml:space="preserve"> 评标办法（</w:t>
      </w:r>
      <w:r>
        <w:rPr>
          <w:rFonts w:hint="eastAsia" w:ascii="宋体" w:hAnsi="宋体" w:cs="宋体"/>
          <w:color w:val="auto"/>
          <w:sz w:val="21"/>
          <w:szCs w:val="21"/>
          <w:highlight w:val="none"/>
          <w:lang w:eastAsia="zh-CN"/>
        </w:rPr>
        <w:t>综合评分</w:t>
      </w:r>
      <w:r>
        <w:rPr>
          <w:rFonts w:hint="eastAsia" w:ascii="宋体" w:hAnsi="宋体" w:eastAsia="宋体" w:cs="宋体"/>
          <w:color w:val="auto"/>
          <w:sz w:val="21"/>
          <w:szCs w:val="21"/>
          <w:highlight w:val="none"/>
        </w:rPr>
        <w:t>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_Toc8125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_Toc22171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评标办法修改表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_Toc22171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_Toc8035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评标办法前附表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_Toc8035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_Toc20631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1. 评标方法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_Toc20631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_Toc24389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2. 评审标准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_Toc24389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_Toc15755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2.2 分值构成与评分标准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_Toc15755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_Toc28729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3. 评标程序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_Toc28729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_Toc27234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 初步评审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_Toc27234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_Toc6360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 详细评审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_Toc6360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_Toc20721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 投标文件的澄清和补正</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_Toc20721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_Toc12699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 评标结果</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_Toc12699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_Toc16300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 评标的有关规定</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_Toc16300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_Toc25727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第四章</w:t>
      </w:r>
      <w:r>
        <w:rPr>
          <w:rFonts w:hint="eastAsia" w:ascii="宋体" w:hAnsi="宋体" w:eastAsia="宋体" w:cs="宋体"/>
          <w:color w:val="auto"/>
          <w:sz w:val="21"/>
          <w:szCs w:val="21"/>
          <w:highlight w:val="none"/>
        </w:rPr>
        <w:t xml:space="preserve"> 合同条款及格式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_Toc25727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_Toc11108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第一部分 合同协议书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_Toc11108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2"/>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_Toc3913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第二部分 通用合同条款</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_Toc3913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630" w:firstLineChars="3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_Toc18398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第三部分 专用合同条款</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_Toc18398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_Toc3285 </w:instrText>
      </w:r>
      <w:r>
        <w:rPr>
          <w:rFonts w:hint="eastAsia" w:ascii="宋体" w:hAnsi="宋体" w:eastAsia="宋体" w:cs="宋体"/>
          <w:color w:val="auto"/>
          <w:sz w:val="21"/>
          <w:szCs w:val="21"/>
          <w:highlight w:val="none"/>
        </w:rPr>
        <w:fldChar w:fldCharType="separate"/>
      </w:r>
      <w:r>
        <w:rPr>
          <w:rFonts w:hint="eastAsia" w:ascii="宋体" w:hAnsi="宋体" w:cs="宋体"/>
          <w:bCs w:val="0"/>
          <w:color w:val="auto"/>
          <w:sz w:val="21"/>
          <w:szCs w:val="21"/>
          <w:highlight w:val="none"/>
          <w:lang w:eastAsia="zh-CN"/>
        </w:rPr>
        <w:t>第五章</w:t>
      </w:r>
      <w:r>
        <w:rPr>
          <w:rFonts w:hint="eastAsia" w:ascii="宋体" w:hAnsi="宋体" w:eastAsia="宋体" w:cs="宋体"/>
          <w:bCs w:val="0"/>
          <w:color w:val="auto"/>
          <w:sz w:val="21"/>
          <w:szCs w:val="21"/>
          <w:highlight w:val="none"/>
        </w:rPr>
        <w:t xml:space="preserve">  工程量清单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_Toc3285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7"/>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_Toc11955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第  二  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_Toc11955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_Toc30661 </w:instrText>
      </w:r>
      <w:r>
        <w:rPr>
          <w:rFonts w:hint="eastAsia" w:ascii="宋体" w:hAnsi="宋体" w:eastAsia="宋体" w:cs="宋体"/>
          <w:color w:val="auto"/>
          <w:sz w:val="21"/>
          <w:szCs w:val="21"/>
          <w:highlight w:val="none"/>
        </w:rPr>
        <w:fldChar w:fldCharType="separate"/>
      </w:r>
      <w:r>
        <w:rPr>
          <w:rFonts w:hint="eastAsia" w:ascii="宋体" w:hAnsi="宋体" w:cs="宋体"/>
          <w:bCs w:val="0"/>
          <w:color w:val="auto"/>
          <w:sz w:val="21"/>
          <w:szCs w:val="21"/>
          <w:highlight w:val="none"/>
          <w:lang w:eastAsia="zh-CN"/>
        </w:rPr>
        <w:t>第六章</w:t>
      </w:r>
      <w:r>
        <w:rPr>
          <w:rFonts w:hint="eastAsia" w:ascii="宋体" w:hAnsi="宋体" w:eastAsia="宋体" w:cs="宋体"/>
          <w:bCs w:val="0"/>
          <w:color w:val="auto"/>
          <w:sz w:val="21"/>
          <w:szCs w:val="21"/>
          <w:highlight w:val="none"/>
        </w:rPr>
        <w:t xml:space="preserve"> 图纸（招标图纸）</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_Toc30661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7"/>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_Toc10492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第 三 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_Toc10492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_Toc26303 </w:instrText>
      </w:r>
      <w:r>
        <w:rPr>
          <w:rFonts w:hint="eastAsia" w:ascii="宋体" w:hAnsi="宋体" w:eastAsia="宋体" w:cs="宋体"/>
          <w:color w:val="auto"/>
          <w:sz w:val="21"/>
          <w:szCs w:val="21"/>
          <w:highlight w:val="none"/>
        </w:rPr>
        <w:fldChar w:fldCharType="separate"/>
      </w:r>
      <w:r>
        <w:rPr>
          <w:rFonts w:hint="eastAsia" w:ascii="宋体" w:hAnsi="宋体" w:cs="宋体"/>
          <w:bCs w:val="0"/>
          <w:color w:val="auto"/>
          <w:sz w:val="21"/>
          <w:szCs w:val="21"/>
          <w:highlight w:val="none"/>
          <w:lang w:eastAsia="zh-CN"/>
        </w:rPr>
        <w:t>第七章</w:t>
      </w:r>
      <w:r>
        <w:rPr>
          <w:rFonts w:hint="eastAsia" w:ascii="宋体" w:hAnsi="宋体" w:eastAsia="宋体" w:cs="宋体"/>
          <w:bCs w:val="0"/>
          <w:color w:val="auto"/>
          <w:sz w:val="21"/>
          <w:szCs w:val="21"/>
          <w:highlight w:val="none"/>
        </w:rPr>
        <w:t xml:space="preserve"> 技术标准和要求（合同技术条款）</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_Toc26303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7"/>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_Toc5426 </w:instrText>
      </w:r>
      <w:r>
        <w:rPr>
          <w:rFonts w:hint="eastAsia" w:ascii="宋体" w:hAnsi="宋体" w:eastAsia="宋体" w:cs="宋体"/>
          <w:color w:val="auto"/>
          <w:sz w:val="21"/>
          <w:szCs w:val="21"/>
          <w:highlight w:val="none"/>
        </w:rPr>
        <w:fldChar w:fldCharType="separate"/>
      </w:r>
      <w:r>
        <w:rPr>
          <w:rFonts w:hint="eastAsia" w:ascii="宋体" w:hAnsi="宋体" w:eastAsia="宋体" w:cs="宋体"/>
          <w:bCs w:val="0"/>
          <w:color w:val="auto"/>
          <w:sz w:val="21"/>
          <w:szCs w:val="21"/>
          <w:highlight w:val="none"/>
        </w:rPr>
        <w:t>第  四  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_Toc5426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_Toc32465 </w:instrText>
      </w:r>
      <w:r>
        <w:rPr>
          <w:rFonts w:hint="eastAsia" w:ascii="宋体" w:hAnsi="宋体" w:eastAsia="宋体" w:cs="宋体"/>
          <w:color w:val="auto"/>
          <w:sz w:val="21"/>
          <w:szCs w:val="21"/>
          <w:highlight w:val="none"/>
        </w:rPr>
        <w:fldChar w:fldCharType="separate"/>
      </w:r>
      <w:r>
        <w:rPr>
          <w:rFonts w:hint="eastAsia" w:ascii="宋体" w:hAnsi="宋体" w:cs="宋体"/>
          <w:bCs w:val="0"/>
          <w:color w:val="auto"/>
          <w:sz w:val="21"/>
          <w:szCs w:val="21"/>
          <w:highlight w:val="none"/>
          <w:lang w:eastAsia="zh-CN"/>
        </w:rPr>
        <w:t>第八章</w:t>
      </w:r>
      <w:r>
        <w:rPr>
          <w:rFonts w:hint="eastAsia" w:ascii="宋体" w:hAnsi="宋体" w:eastAsia="宋体" w:cs="宋体"/>
          <w:bCs w:val="0"/>
          <w:color w:val="auto"/>
          <w:sz w:val="21"/>
          <w:szCs w:val="21"/>
          <w:highlight w:val="none"/>
        </w:rPr>
        <w:t xml:space="preserve">  投标文件格式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_Toc32465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_Toc14224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一、投标函及投标函附录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_Toc14224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_Toc4540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二、法定代表人身份证明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_Toc4540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_Toc20240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三、投标保证金</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_Toc20240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_Toc24845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四、联合体协议书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_Toc24845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_Toc18266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五、拟分包项目情况表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_Toc18266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_Toc4372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六</w:t>
      </w:r>
      <w:r>
        <w:rPr>
          <w:rFonts w:hint="eastAsia" w:ascii="宋体" w:hAnsi="宋体" w:eastAsia="宋体" w:cs="宋体"/>
          <w:color w:val="auto"/>
          <w:sz w:val="21"/>
          <w:szCs w:val="21"/>
          <w:highlight w:val="none"/>
        </w:rPr>
        <w:t>、投标报价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_Toc4372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_Toc31555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七</w:t>
      </w:r>
      <w:r>
        <w:rPr>
          <w:rFonts w:hint="eastAsia" w:ascii="宋体" w:hAnsi="宋体" w:eastAsia="宋体" w:cs="宋体"/>
          <w:color w:val="auto"/>
          <w:sz w:val="21"/>
          <w:szCs w:val="21"/>
          <w:highlight w:val="none"/>
        </w:rPr>
        <w:t>、施工组织设计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_Toc31555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_Toc20175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八</w:t>
      </w:r>
      <w:r>
        <w:rPr>
          <w:rFonts w:hint="eastAsia" w:ascii="宋体" w:hAnsi="宋体" w:eastAsia="宋体" w:cs="宋体"/>
          <w:color w:val="auto"/>
          <w:sz w:val="21"/>
          <w:szCs w:val="21"/>
          <w:highlight w:val="none"/>
        </w:rPr>
        <w:t>、项目管理机构</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_Toc20175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_Toc8253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lang w:val="en-US" w:eastAsia="zh-CN"/>
        </w:rPr>
        <w:t>九</w:t>
      </w:r>
      <w:r>
        <w:rPr>
          <w:rFonts w:hint="eastAsia" w:ascii="宋体" w:hAnsi="宋体" w:eastAsia="宋体" w:cs="宋体"/>
          <w:color w:val="auto"/>
          <w:sz w:val="21"/>
          <w:szCs w:val="21"/>
          <w:highlight w:val="none"/>
        </w:rPr>
        <w:t>、资格审查资料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_Toc8253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188</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_Toc9072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十、农田建设项目信用承诺书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_Toc9072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pPr>
        <w:pStyle w:val="19"/>
        <w:keepNext w:val="0"/>
        <w:keepLines w:val="0"/>
        <w:pageBreakBefore w:val="0"/>
        <w:widowControl w:val="0"/>
        <w:tabs>
          <w:tab w:val="right" w:leader="dot" w:pos="8312"/>
        </w:tabs>
        <w:kinsoku/>
        <w:wordWrap/>
        <w:overflowPunct/>
        <w:topLinePunct w:val="0"/>
        <w:autoSpaceDE/>
        <w:autoSpaceDN/>
        <w:bidi w:val="0"/>
        <w:adjustRightInd/>
        <w:snapToGrid/>
        <w:spacing w:line="300" w:lineRule="exact"/>
        <w:ind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_Toc6506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十</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、其他材料</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end"/>
      </w:r>
      <w:r>
        <w:rPr>
          <w:rFonts w:hint="eastAsia" w:ascii="宋体" w:hAnsi="宋体" w:cs="宋体"/>
          <w:color w:val="auto"/>
          <w:sz w:val="21"/>
          <w:szCs w:val="21"/>
          <w:highlight w:val="none"/>
          <w:lang w:val="en-US" w:eastAsia="zh-CN"/>
        </w:rPr>
        <w:t>195</w:t>
      </w:r>
    </w:p>
    <w:p>
      <w:pPr>
        <w:rPr>
          <w:color w:val="auto"/>
          <w:highlight w:val="none"/>
        </w:rPr>
      </w:pPr>
      <w:r>
        <w:rPr>
          <w:rFonts w:hint="eastAsia" w:ascii="宋体" w:hAnsi="宋体" w:eastAsia="宋体" w:cs="宋体"/>
          <w:color w:val="auto"/>
          <w:szCs w:val="21"/>
          <w:highlight w:val="none"/>
        </w:rPr>
        <w:fldChar w:fldCharType="end"/>
      </w:r>
    </w:p>
    <w:p>
      <w:pPr>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rPr>
          <w:color w:val="auto"/>
          <w:highlight w:val="none"/>
        </w:rPr>
      </w:pPr>
    </w:p>
    <w:p>
      <w:pPr>
        <w:pStyle w:val="2"/>
        <w:spacing w:before="120" w:after="120" w:line="400" w:lineRule="exact"/>
        <w:rPr>
          <w:rFonts w:ascii="黑体" w:hAnsi="黑体" w:eastAsia="黑体" w:cs="宋体"/>
          <w:b w:val="0"/>
          <w:bCs w:val="0"/>
          <w:color w:val="auto"/>
          <w:sz w:val="36"/>
          <w:szCs w:val="36"/>
          <w:highlight w:val="none"/>
        </w:rPr>
      </w:pPr>
      <w:bookmarkStart w:id="28" w:name="_Toc11055"/>
      <w:bookmarkStart w:id="29" w:name="_Toc423"/>
      <w:bookmarkStart w:id="30" w:name="_Toc18137"/>
      <w:bookmarkStart w:id="31" w:name="_Toc1022110963"/>
      <w:bookmarkStart w:id="32" w:name="_Toc4665"/>
      <w:bookmarkStart w:id="33" w:name="_Toc2053547031"/>
      <w:bookmarkStart w:id="34" w:name="_Toc297"/>
      <w:bookmarkStart w:id="35" w:name="_Toc32402"/>
      <w:r>
        <w:rPr>
          <w:rFonts w:hint="eastAsia" w:ascii="黑体" w:hAnsi="黑体" w:eastAsia="黑体" w:cs="宋体"/>
          <w:b w:val="0"/>
          <w:bCs w:val="0"/>
          <w:color w:val="auto"/>
          <w:sz w:val="36"/>
          <w:szCs w:val="36"/>
          <w:highlight w:val="none"/>
        </w:rPr>
        <w:t>第  一  卷</w:t>
      </w:r>
      <w:bookmarkEnd w:id="24"/>
      <w:bookmarkEnd w:id="25"/>
      <w:bookmarkEnd w:id="28"/>
      <w:bookmarkEnd w:id="29"/>
      <w:bookmarkEnd w:id="30"/>
      <w:bookmarkEnd w:id="31"/>
      <w:bookmarkEnd w:id="32"/>
      <w:bookmarkEnd w:id="33"/>
      <w:bookmarkEnd w:id="34"/>
      <w:bookmarkEnd w:id="35"/>
      <w:bookmarkStart w:id="36" w:name="_Toc387753531"/>
      <w:bookmarkStart w:id="37" w:name="_Toc168476028"/>
      <w:bookmarkStart w:id="38" w:name="_Toc222033813"/>
      <w:bookmarkStart w:id="39" w:name="_Toc222029462"/>
      <w:bookmarkStart w:id="40" w:name="_Toc221949920"/>
      <w:bookmarkStart w:id="41" w:name="_Toc222030964"/>
      <w:bookmarkStart w:id="42" w:name="_Toc144974479"/>
      <w:bookmarkStart w:id="43" w:name="_Toc229305322"/>
      <w:bookmarkStart w:id="44" w:name="_Toc222032631"/>
      <w:bookmarkStart w:id="45" w:name="_Toc168475625"/>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rFonts w:hint="eastAsia" w:ascii="黑体" w:hAnsi="黑体" w:eastAsia="黑体"/>
          <w:b w:val="0"/>
          <w:bCs w:val="0"/>
          <w:color w:val="auto"/>
          <w:sz w:val="32"/>
          <w:highlight w:val="none"/>
        </w:rPr>
      </w:pPr>
      <w:bookmarkStart w:id="46" w:name="_Toc1246595336"/>
      <w:bookmarkStart w:id="47" w:name="_Toc28502"/>
      <w:bookmarkStart w:id="48" w:name="_Toc447874717"/>
      <w:bookmarkStart w:id="49" w:name="_Toc5269"/>
      <w:bookmarkStart w:id="50" w:name="_Toc7637"/>
      <w:bookmarkStart w:id="51" w:name="_Toc22318"/>
      <w:bookmarkStart w:id="52" w:name="_Toc32181"/>
      <w:r>
        <w:rPr>
          <w:rFonts w:hint="eastAsia" w:ascii="黑体" w:hAnsi="黑体" w:eastAsia="黑体"/>
          <w:b w:val="0"/>
          <w:bCs w:val="0"/>
          <w:color w:val="auto"/>
          <w:sz w:val="32"/>
          <w:highlight w:val="none"/>
        </w:rPr>
        <w:br w:type="page"/>
      </w:r>
    </w:p>
    <w:p>
      <w:pPr>
        <w:pStyle w:val="3"/>
        <w:jc w:val="center"/>
        <w:outlineLvl w:val="1"/>
        <w:rPr>
          <w:rFonts w:ascii="黑体" w:hAnsi="黑体" w:eastAsia="黑体"/>
          <w:b w:val="0"/>
          <w:bCs w:val="0"/>
          <w:color w:val="auto"/>
          <w:sz w:val="32"/>
          <w:highlight w:val="none"/>
        </w:rPr>
      </w:pPr>
      <w:bookmarkStart w:id="53" w:name="_Toc3135"/>
      <w:r>
        <w:rPr>
          <w:rFonts w:hint="eastAsia" w:ascii="黑体" w:hAnsi="黑体"/>
          <w:b w:val="0"/>
          <w:bCs w:val="0"/>
          <w:color w:val="auto"/>
          <w:sz w:val="32"/>
          <w:highlight w:val="none"/>
          <w:lang w:eastAsia="zh-CN"/>
        </w:rPr>
        <w:t>第一章</w:t>
      </w:r>
      <w:r>
        <w:rPr>
          <w:rFonts w:hint="eastAsia" w:ascii="黑体" w:hAnsi="黑体" w:eastAsia="黑体"/>
          <w:b w:val="0"/>
          <w:bCs w:val="0"/>
          <w:color w:val="auto"/>
          <w:sz w:val="32"/>
          <w:highlight w:val="none"/>
        </w:rPr>
        <w:t xml:space="preserve"> 招标公告</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pPr>
        <w:spacing w:line="440" w:lineRule="exact"/>
        <w:jc w:val="center"/>
        <w:rPr>
          <w:rFonts w:ascii="宋体" w:hAnsi="宋体" w:cs="宋体"/>
          <w:color w:val="auto"/>
          <w:sz w:val="28"/>
          <w:szCs w:val="28"/>
          <w:highlight w:val="none"/>
        </w:rPr>
      </w:pPr>
      <w:bookmarkStart w:id="54" w:name="_Toc221949921"/>
      <w:r>
        <w:rPr>
          <w:rFonts w:hint="eastAsia" w:ascii="宋体" w:hAnsi="宋体" w:cs="宋体"/>
          <w:color w:val="auto"/>
          <w:sz w:val="28"/>
          <w:szCs w:val="28"/>
          <w:highlight w:val="none"/>
        </w:rPr>
        <w:t>（项目名称）</w:t>
      </w:r>
      <w:r>
        <w:rPr>
          <w:rFonts w:hint="eastAsia" w:ascii="宋体" w:hAnsi="宋体" w:cs="宋体"/>
          <w:b/>
          <w:color w:val="auto"/>
          <w:sz w:val="28"/>
          <w:szCs w:val="28"/>
          <w:highlight w:val="none"/>
        </w:rPr>
        <w:t>施工招标公告</w:t>
      </w:r>
      <w:bookmarkEnd w:id="54"/>
    </w:p>
    <w:p>
      <w:pPr>
        <w:pStyle w:val="20"/>
        <w:spacing w:before="120" w:afterLines="50"/>
        <w:outlineLvl w:val="2"/>
        <w:rPr>
          <w:color w:val="auto"/>
          <w:highlight w:val="none"/>
        </w:rPr>
      </w:pPr>
      <w:bookmarkStart w:id="55" w:name="_Toc222032632"/>
      <w:bookmarkStart w:id="56" w:name="_Toc29060"/>
      <w:bookmarkStart w:id="57" w:name="_Toc222029463"/>
      <w:bookmarkStart w:id="58" w:name="_Toc3041"/>
      <w:bookmarkStart w:id="59" w:name="_Toc1650171334"/>
      <w:bookmarkStart w:id="60" w:name="_Toc18551"/>
      <w:bookmarkStart w:id="61" w:name="_Toc40953892"/>
      <w:bookmarkStart w:id="62" w:name="_Toc8356"/>
      <w:bookmarkStart w:id="63" w:name="_Toc229305323"/>
      <w:bookmarkStart w:id="64" w:name="_Toc221949922"/>
      <w:bookmarkStart w:id="65" w:name="_Toc222033814"/>
      <w:bookmarkStart w:id="66" w:name="_Toc32316"/>
      <w:bookmarkStart w:id="67" w:name="_Toc144974480"/>
      <w:bookmarkStart w:id="68" w:name="_Toc28236"/>
      <w:bookmarkStart w:id="69" w:name="_Toc222030965"/>
      <w:bookmarkStart w:id="70" w:name="_Toc387753532"/>
      <w:bookmarkStart w:id="71" w:name="_Toc168476029"/>
      <w:bookmarkStart w:id="72" w:name="_Toc168475626"/>
      <w:r>
        <w:rPr>
          <w:rFonts w:hint="eastAsia"/>
          <w:color w:val="auto"/>
          <w:highlight w:val="none"/>
        </w:rPr>
        <w:t>1. 招标条件</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pPr>
        <w:spacing w:line="400" w:lineRule="exact"/>
        <w:ind w:firstLine="420" w:firstLineChars="200"/>
        <w:rPr>
          <w:rFonts w:ascii="宋体" w:hAnsi="宋体" w:cs="宋体"/>
          <w:color w:val="auto"/>
          <w:szCs w:val="21"/>
          <w:highlight w:val="none"/>
        </w:rPr>
      </w:pPr>
      <w:bookmarkStart w:id="73" w:name="_Toc221949923"/>
      <w:r>
        <w:rPr>
          <w:rFonts w:hint="eastAsia" w:ascii="宋体" w:hAnsi="宋体" w:cs="宋体"/>
          <w:color w:val="auto"/>
          <w:szCs w:val="21"/>
          <w:highlight w:val="none"/>
        </w:rPr>
        <w:t>本招标项目</w:t>
      </w:r>
      <w:r>
        <w:rPr>
          <w:rFonts w:hint="eastAsia" w:ascii="宋体" w:hAnsi="宋体" w:cs="宋体"/>
          <w:color w:val="auto"/>
          <w:szCs w:val="21"/>
          <w:highlight w:val="none"/>
          <w:u w:val="single"/>
        </w:rPr>
        <w:t>（项目名称）</w:t>
      </w:r>
      <w:r>
        <w:rPr>
          <w:rFonts w:hint="eastAsia" w:ascii="宋体" w:hAnsi="宋体" w:cs="宋体"/>
          <w:color w:val="auto"/>
          <w:szCs w:val="21"/>
          <w:highlight w:val="none"/>
        </w:rPr>
        <w:t>已由</w:t>
      </w:r>
      <w:r>
        <w:rPr>
          <w:rFonts w:hint="eastAsia" w:ascii="宋体" w:hAnsi="宋体" w:cs="宋体"/>
          <w:color w:val="auto"/>
          <w:szCs w:val="21"/>
          <w:highlight w:val="none"/>
          <w:u w:val="single"/>
        </w:rPr>
        <w:t>（项目审批，核准或备案机关名称）</w:t>
      </w:r>
      <w:r>
        <w:rPr>
          <w:rFonts w:hint="eastAsia" w:ascii="宋体" w:hAnsi="宋体" w:cs="宋体"/>
          <w:color w:val="auto"/>
          <w:szCs w:val="21"/>
          <w:highlight w:val="none"/>
        </w:rPr>
        <w:t>以</w:t>
      </w:r>
      <w:r>
        <w:rPr>
          <w:rFonts w:hint="eastAsia" w:ascii="宋体" w:hAnsi="宋体" w:cs="宋体"/>
          <w:color w:val="auto"/>
          <w:szCs w:val="21"/>
          <w:highlight w:val="none"/>
          <w:u w:val="single"/>
        </w:rPr>
        <w:t>（批文名称及编号）</w:t>
      </w:r>
      <w:r>
        <w:rPr>
          <w:rFonts w:hint="eastAsia" w:ascii="宋体" w:hAnsi="宋体" w:cs="宋体"/>
          <w:color w:val="auto"/>
          <w:szCs w:val="21"/>
          <w:highlight w:val="none"/>
        </w:rPr>
        <w:t>批准建设，建设资金来自</w:t>
      </w:r>
      <w:r>
        <w:rPr>
          <w:rFonts w:hint="eastAsia"/>
          <w:color w:val="auto"/>
          <w:szCs w:val="21"/>
          <w:highlight w:val="none"/>
          <w:u w:val="single"/>
          <w:lang w:val="en-US" w:eastAsia="zh-CN"/>
        </w:rPr>
        <w:t xml:space="preserve">          </w:t>
      </w:r>
      <w:r>
        <w:rPr>
          <w:rFonts w:hint="eastAsia" w:ascii="宋体" w:hAnsi="宋体" w:cs="宋体"/>
          <w:color w:val="auto"/>
          <w:szCs w:val="21"/>
          <w:highlight w:val="none"/>
        </w:rPr>
        <w:t>（资金来源），项目出资比例为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，招标人为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，招标代理机构为</w:t>
      </w:r>
      <w:r>
        <w:rPr>
          <w:rFonts w:hint="eastAsia"/>
          <w:color w:val="auto"/>
          <w:szCs w:val="21"/>
          <w:highlight w:val="none"/>
          <w:u w:val="single"/>
          <w:lang w:val="en-US" w:eastAsia="zh-CN"/>
        </w:rPr>
        <w:t xml:space="preserve">          </w:t>
      </w:r>
      <w:r>
        <w:rPr>
          <w:rFonts w:hint="eastAsia" w:ascii="宋体" w:hAnsi="宋体" w:cs="宋体"/>
          <w:color w:val="auto"/>
          <w:szCs w:val="21"/>
          <w:highlight w:val="none"/>
        </w:rPr>
        <w:t>。项目已具备招标条件，现对本项目施工进行公开招标。</w:t>
      </w:r>
      <w:bookmarkEnd w:id="73"/>
    </w:p>
    <w:p>
      <w:pPr>
        <w:pStyle w:val="20"/>
        <w:spacing w:before="120" w:afterLines="50"/>
        <w:outlineLvl w:val="2"/>
        <w:rPr>
          <w:color w:val="auto"/>
          <w:highlight w:val="none"/>
        </w:rPr>
      </w:pPr>
      <w:bookmarkStart w:id="74" w:name="_Toc222029464"/>
      <w:bookmarkStart w:id="75" w:name="_Toc222032633"/>
      <w:bookmarkStart w:id="76" w:name="_Toc23244"/>
      <w:bookmarkStart w:id="77" w:name="_Toc24058"/>
      <w:bookmarkStart w:id="78" w:name="_Toc168476030"/>
      <w:bookmarkStart w:id="79" w:name="_Toc221949924"/>
      <w:bookmarkStart w:id="80" w:name="_Toc229305324"/>
      <w:bookmarkStart w:id="81" w:name="_Toc168475627"/>
      <w:bookmarkStart w:id="82" w:name="_Toc2394"/>
      <w:bookmarkStart w:id="83" w:name="_Toc5380"/>
      <w:bookmarkStart w:id="84" w:name="_Toc22303"/>
      <w:bookmarkStart w:id="85" w:name="_Toc144974481"/>
      <w:bookmarkStart w:id="86" w:name="_Toc9742"/>
      <w:bookmarkStart w:id="87" w:name="_Toc387753533"/>
      <w:bookmarkStart w:id="88" w:name="_Toc222030966"/>
      <w:bookmarkStart w:id="89" w:name="_Toc950596501"/>
      <w:bookmarkStart w:id="90" w:name="_Toc1034972149"/>
      <w:bookmarkStart w:id="91" w:name="_Toc222033815"/>
      <w:r>
        <w:rPr>
          <w:rFonts w:hint="eastAsia"/>
          <w:color w:val="auto"/>
          <w:highlight w:val="none"/>
        </w:rPr>
        <w:t>2. 项目概况与招标范围</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pPr>
        <w:spacing w:line="480" w:lineRule="exact"/>
        <w:ind w:firstLine="420" w:firstLineChars="200"/>
        <w:outlineLvl w:val="9"/>
        <w:rPr>
          <w:color w:val="auto"/>
          <w:szCs w:val="21"/>
          <w:highlight w:val="none"/>
        </w:rPr>
      </w:pPr>
      <w:bookmarkStart w:id="92" w:name="_Toc109149738"/>
      <w:r>
        <w:rPr>
          <w:color w:val="auto"/>
          <w:szCs w:val="21"/>
          <w:highlight w:val="none"/>
        </w:rPr>
        <w:t xml:space="preserve">2.1 </w:t>
      </w:r>
      <w:r>
        <w:rPr>
          <w:rFonts w:hint="eastAsia"/>
          <w:color w:val="auto"/>
          <w:szCs w:val="21"/>
          <w:highlight w:val="none"/>
        </w:rPr>
        <w:t>项目概况</w:t>
      </w:r>
      <w:bookmarkEnd w:id="92"/>
    </w:p>
    <w:p>
      <w:pPr>
        <w:spacing w:line="480" w:lineRule="exact"/>
        <w:ind w:firstLine="840" w:firstLineChars="400"/>
        <w:rPr>
          <w:color w:val="auto"/>
          <w:szCs w:val="21"/>
          <w:highlight w:val="none"/>
          <w:u w:val="single"/>
        </w:rPr>
      </w:pPr>
      <w:r>
        <w:rPr>
          <w:rFonts w:hint="eastAsia"/>
          <w:color w:val="auto"/>
          <w:szCs w:val="21"/>
          <w:highlight w:val="none"/>
        </w:rPr>
        <w:t>建设地点：</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u w:val="single"/>
        </w:rPr>
      </w:pPr>
      <w:r>
        <w:rPr>
          <w:rFonts w:hint="eastAsia"/>
          <w:color w:val="auto"/>
          <w:szCs w:val="21"/>
          <w:highlight w:val="none"/>
        </w:rPr>
        <w:t>建设规模：</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rPr>
      </w:pPr>
      <w:r>
        <w:rPr>
          <w:rFonts w:hint="eastAsia"/>
          <w:color w:val="auto"/>
          <w:szCs w:val="21"/>
          <w:highlight w:val="none"/>
        </w:rPr>
        <w:t>其他：</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420" w:firstLineChars="200"/>
        <w:outlineLvl w:val="9"/>
        <w:rPr>
          <w:color w:val="auto"/>
          <w:szCs w:val="21"/>
          <w:highlight w:val="none"/>
        </w:rPr>
      </w:pPr>
      <w:bookmarkStart w:id="93" w:name="_Toc109149739"/>
      <w:r>
        <w:rPr>
          <w:color w:val="auto"/>
          <w:szCs w:val="21"/>
          <w:highlight w:val="none"/>
        </w:rPr>
        <w:t>2.</w:t>
      </w:r>
      <w:r>
        <w:rPr>
          <w:rFonts w:hint="eastAsia"/>
          <w:color w:val="auto"/>
          <w:szCs w:val="21"/>
          <w:highlight w:val="none"/>
        </w:rPr>
        <w:t>2 标段划分及各标段招标内容、规模和最高投标限价</w:t>
      </w:r>
      <w:bookmarkEnd w:id="93"/>
    </w:p>
    <w:p>
      <w:pPr>
        <w:spacing w:line="480" w:lineRule="exact"/>
        <w:ind w:firstLine="840" w:firstLineChars="400"/>
        <w:rPr>
          <w:color w:val="auto"/>
          <w:szCs w:val="21"/>
          <w:highlight w:val="none"/>
        </w:rPr>
      </w:pPr>
      <w:r>
        <w:rPr>
          <w:rFonts w:hint="eastAsia"/>
          <w:color w:val="auto"/>
          <w:szCs w:val="21"/>
          <w:highlight w:val="none"/>
        </w:rPr>
        <w:t>招标范围：</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rPr>
      </w:pPr>
      <w:r>
        <w:rPr>
          <w:rFonts w:hint="eastAsia"/>
          <w:color w:val="auto"/>
          <w:szCs w:val="21"/>
          <w:highlight w:val="none"/>
        </w:rPr>
        <w:t>招标内容：</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rPr>
      </w:pPr>
      <w:r>
        <w:rPr>
          <w:rFonts w:hint="eastAsia"/>
          <w:color w:val="auto"/>
          <w:szCs w:val="21"/>
          <w:highlight w:val="none"/>
        </w:rPr>
        <w:t>标段划分：</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u w:val="single"/>
        </w:rPr>
      </w:pPr>
      <w:r>
        <w:rPr>
          <w:rFonts w:hint="eastAsia"/>
          <w:color w:val="auto"/>
          <w:szCs w:val="21"/>
          <w:highlight w:val="none"/>
        </w:rPr>
        <w:t>（注：两个或两个以上标段的，应明确允许兼中或不兼中时，明确对项目负责人的数量要求。对于包含两个或两个以上专业的招标项目，应分别明确各专业对应的招标内容、规模和最高投标限价的专业组成费用。）</w:t>
      </w:r>
    </w:p>
    <w:p>
      <w:pPr>
        <w:spacing w:line="480" w:lineRule="exact"/>
        <w:ind w:left="420" w:leftChars="200" w:firstLine="420" w:firstLineChars="200"/>
        <w:rPr>
          <w:color w:val="auto"/>
          <w:szCs w:val="21"/>
          <w:highlight w:val="none"/>
        </w:rPr>
      </w:pPr>
      <w:r>
        <w:rPr>
          <w:rFonts w:hint="eastAsia"/>
          <w:color w:val="auto"/>
          <w:szCs w:val="21"/>
          <w:highlight w:val="none"/>
        </w:rPr>
        <w:t>计划</w:t>
      </w:r>
      <w:r>
        <w:rPr>
          <w:rFonts w:hint="eastAsia"/>
          <w:color w:val="auto"/>
          <w:highlight w:val="none"/>
        </w:rPr>
        <w:t>工期</w:t>
      </w:r>
      <w:r>
        <w:rPr>
          <w:rFonts w:hint="eastAsia"/>
          <w:color w:val="auto"/>
          <w:szCs w:val="21"/>
          <w:highlight w:val="none"/>
        </w:rPr>
        <w:t>：</w:t>
      </w:r>
      <w:r>
        <w:rPr>
          <w:rFonts w:hint="eastAsia"/>
          <w:color w:val="auto"/>
          <w:szCs w:val="21"/>
          <w:highlight w:val="none"/>
          <w:u w:val="single"/>
          <w:lang w:val="en-US" w:eastAsia="zh-CN"/>
        </w:rPr>
        <w:t xml:space="preserve">          </w:t>
      </w:r>
      <w:r>
        <w:rPr>
          <w:rFonts w:hint="eastAsia"/>
          <w:color w:val="auto"/>
          <w:szCs w:val="21"/>
          <w:highlight w:val="none"/>
        </w:rPr>
        <w:t>日历天。</w:t>
      </w:r>
    </w:p>
    <w:p>
      <w:pPr>
        <w:spacing w:line="480" w:lineRule="exact"/>
        <w:ind w:firstLine="840" w:firstLineChars="400"/>
        <w:rPr>
          <w:color w:val="auto"/>
          <w:szCs w:val="21"/>
          <w:highlight w:val="none"/>
        </w:rPr>
      </w:pPr>
      <w:r>
        <w:rPr>
          <w:rFonts w:hint="eastAsia"/>
          <w:color w:val="auto"/>
          <w:szCs w:val="21"/>
          <w:highlight w:val="none"/>
        </w:rPr>
        <w:t>最高投标限价：</w:t>
      </w:r>
      <w:r>
        <w:rPr>
          <w:rFonts w:hint="eastAsia"/>
          <w:color w:val="auto"/>
          <w:szCs w:val="21"/>
          <w:highlight w:val="none"/>
          <w:u w:val="single"/>
          <w:lang w:val="en-US" w:eastAsia="zh-CN"/>
        </w:rPr>
        <w:t xml:space="preserve">          </w:t>
      </w:r>
      <w:r>
        <w:rPr>
          <w:rFonts w:hint="eastAsia"/>
          <w:color w:val="auto"/>
          <w:szCs w:val="21"/>
          <w:highlight w:val="none"/>
          <w:u w:val="none"/>
          <w:lang w:val="en-US" w:eastAsia="zh-CN"/>
        </w:rPr>
        <w:t>万元</w:t>
      </w:r>
      <w:r>
        <w:rPr>
          <w:rFonts w:hint="eastAsia"/>
          <w:color w:val="auto"/>
          <w:szCs w:val="21"/>
          <w:highlight w:val="none"/>
          <w:u w:val="none"/>
        </w:rPr>
        <w:t>。</w:t>
      </w:r>
    </w:p>
    <w:p>
      <w:pPr>
        <w:spacing w:line="480" w:lineRule="exact"/>
        <w:ind w:firstLine="840" w:firstLineChars="400"/>
        <w:rPr>
          <w:color w:val="auto"/>
          <w:szCs w:val="21"/>
          <w:highlight w:val="none"/>
        </w:rPr>
      </w:pPr>
      <w:r>
        <w:rPr>
          <w:rFonts w:hint="eastAsia"/>
          <w:color w:val="auto"/>
          <w:szCs w:val="21"/>
          <w:highlight w:val="none"/>
        </w:rPr>
        <w:t>承包方式</w:t>
      </w:r>
      <w:r>
        <w:rPr>
          <w:rStyle w:val="27"/>
          <w:rFonts w:hint="eastAsia"/>
          <w:color w:val="auto"/>
          <w:szCs w:val="21"/>
          <w:highlight w:val="none"/>
        </w:rPr>
        <w:footnoteReference w:id="0"/>
      </w:r>
      <w:r>
        <w:rPr>
          <w:rFonts w:hint="eastAsia"/>
          <w:color w:val="auto"/>
          <w:szCs w:val="21"/>
          <w:highlight w:val="none"/>
        </w:rPr>
        <w:t>：</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420" w:firstLineChars="200"/>
        <w:rPr>
          <w:color w:val="auto"/>
          <w:szCs w:val="21"/>
          <w:highlight w:val="none"/>
        </w:rPr>
      </w:pPr>
      <w:r>
        <w:rPr>
          <w:color w:val="auto"/>
          <w:szCs w:val="21"/>
          <w:highlight w:val="none"/>
        </w:rPr>
        <w:t>2.</w:t>
      </w:r>
      <w:r>
        <w:rPr>
          <w:rFonts w:hint="eastAsia"/>
          <w:color w:val="auto"/>
          <w:szCs w:val="21"/>
          <w:highlight w:val="none"/>
        </w:rPr>
        <w:t>3 其他：</w:t>
      </w:r>
      <w:r>
        <w:rPr>
          <w:rFonts w:hint="eastAsia"/>
          <w:color w:val="auto"/>
          <w:szCs w:val="21"/>
          <w:highlight w:val="none"/>
          <w:u w:val="single"/>
          <w:lang w:val="en-US" w:eastAsia="zh-CN"/>
        </w:rPr>
        <w:t xml:space="preserve">         </w:t>
      </w:r>
      <w:r>
        <w:rPr>
          <w:rFonts w:hint="eastAsia"/>
          <w:color w:val="auto"/>
          <w:szCs w:val="21"/>
          <w:highlight w:val="none"/>
        </w:rPr>
        <w:t>。</w:t>
      </w:r>
    </w:p>
    <w:p>
      <w:pPr>
        <w:pStyle w:val="20"/>
        <w:spacing w:before="120" w:afterLines="50"/>
        <w:outlineLvl w:val="2"/>
        <w:rPr>
          <w:rFonts w:hint="eastAsia"/>
          <w:color w:val="auto"/>
          <w:highlight w:val="none"/>
        </w:rPr>
      </w:pPr>
      <w:bookmarkStart w:id="94" w:name="_Toc6582"/>
      <w:bookmarkStart w:id="95" w:name="_Toc222029465"/>
      <w:bookmarkStart w:id="96" w:name="_Toc22069"/>
      <w:bookmarkStart w:id="97" w:name="_Toc222032634"/>
      <w:bookmarkStart w:id="98" w:name="_Toc221949926"/>
      <w:bookmarkStart w:id="99" w:name="_Toc144974482"/>
      <w:bookmarkStart w:id="100" w:name="_Toc229305325"/>
      <w:bookmarkStart w:id="101" w:name="_Toc222033816"/>
      <w:bookmarkStart w:id="102" w:name="_Toc644469185"/>
      <w:bookmarkStart w:id="103" w:name="_Toc283061529"/>
      <w:bookmarkStart w:id="104" w:name="_Toc168476031"/>
      <w:bookmarkStart w:id="105" w:name="_Toc30667"/>
      <w:bookmarkStart w:id="106" w:name="_Toc387753534"/>
      <w:bookmarkStart w:id="107" w:name="_Toc222030967"/>
      <w:bookmarkStart w:id="108" w:name="_Toc22773"/>
      <w:bookmarkStart w:id="109" w:name="_Toc168475628"/>
      <w:bookmarkStart w:id="110" w:name="_Toc8497"/>
      <w:bookmarkStart w:id="111" w:name="_Toc15703"/>
      <w:r>
        <w:rPr>
          <w:rFonts w:hint="eastAsia"/>
          <w:color w:val="auto"/>
          <w:highlight w:val="none"/>
        </w:rPr>
        <w:t>3. 投标人资格要求</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rPr>
      </w:pPr>
      <w:bookmarkStart w:id="112" w:name="_Toc221949927"/>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投标人参加投标的意思表达清楚，投标人代表被授权有效。</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rPr>
      </w:pPr>
      <w:r>
        <w:rPr>
          <w:rFonts w:hint="eastAsia" w:ascii="宋体" w:hAnsi="宋体" w:cs="宋体"/>
          <w:color w:val="auto"/>
          <w:highlight w:val="none"/>
        </w:rPr>
        <w:t>3.2投标人均具有独立法人资格，按国家法律经营。</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rPr>
      </w:pPr>
      <w:r>
        <w:rPr>
          <w:rFonts w:hint="eastAsia" w:ascii="宋体" w:hAnsi="宋体" w:cs="宋体"/>
          <w:color w:val="auto"/>
          <w:highlight w:val="none"/>
        </w:rPr>
        <w:t>3.3投标人均持有相关主管部门颁发有效期内的企业资质证书及安全生产许可证。</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rPr>
        <w:t>3.4本次招标要求投标人须具备</w:t>
      </w:r>
      <w:r>
        <w:rPr>
          <w:rFonts w:hint="eastAsia" w:ascii="宋体" w:hAnsi="宋体" w:cs="宋体"/>
          <w:color w:val="auto"/>
          <w:highlight w:val="none"/>
          <w:u w:val="none"/>
        </w:rPr>
        <w:t>以下资质：</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（注：施工总承包招标选择此项）投标人具有承接本工程所需的</w:t>
      </w:r>
      <w:r>
        <w:rPr>
          <w:rFonts w:hint="eastAsia" w:ascii="宋体" w:hAnsi="宋体" w:cs="宋体"/>
          <w:color w:val="auto"/>
          <w:highlight w:val="none"/>
          <w:u w:val="single"/>
        </w:rPr>
        <w:t xml:space="preserve">      </w:t>
      </w:r>
      <w:r>
        <w:rPr>
          <w:rFonts w:hint="eastAsia" w:ascii="宋体" w:hAnsi="宋体" w:cs="宋体"/>
          <w:color w:val="auto"/>
          <w:highlight w:val="none"/>
          <w:u w:val="none"/>
        </w:rPr>
        <w:t>级或以上级别施工总承包资质；（注：应选择符合招标内容的一种施工总承包资质；联合体的，以资质等级低的一方为等级标准）。</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宋体" w:hAnsi="宋体" w:eastAsia="宋体" w:cs="宋体"/>
          <w:color w:val="auto"/>
          <w:highlight w:val="none"/>
          <w:u w:val="none"/>
          <w:lang w:eastAsia="zh-CN"/>
        </w:rPr>
      </w:pPr>
      <w:r>
        <w:rPr>
          <w:rFonts w:hint="eastAsia" w:ascii="宋体" w:hAnsi="宋体" w:cs="宋体"/>
          <w:color w:val="auto"/>
          <w:highlight w:val="none"/>
          <w:u w:val="none"/>
        </w:rPr>
        <w:t>（注：专业承包招标选择此项</w:t>
      </w:r>
      <w:r>
        <w:rPr>
          <w:rFonts w:hint="eastAsia" w:ascii="宋体" w:hAnsi="宋体" w:cs="宋体"/>
          <w:color w:val="auto"/>
          <w:highlight w:val="none"/>
          <w:u w:val="none"/>
          <w:lang w:eastAsia="zh-CN"/>
        </w:rPr>
        <w:t>，专业应与农田建设内容相关</w:t>
      </w:r>
      <w:r>
        <w:rPr>
          <w:rFonts w:hint="eastAsia" w:ascii="宋体" w:hAnsi="宋体" w:cs="宋体"/>
          <w:color w:val="auto"/>
          <w:highlight w:val="none"/>
          <w:u w:val="none"/>
        </w:rPr>
        <w:t xml:space="preserve">）投标人具有承接本工程所需的 </w:t>
      </w:r>
      <w:r>
        <w:rPr>
          <w:rFonts w:hint="eastAsia" w:ascii="宋体" w:hAnsi="宋体" w:cs="宋体"/>
          <w:color w:val="auto"/>
          <w:highlight w:val="none"/>
          <w:u w:val="single"/>
        </w:rPr>
        <w:t xml:space="preserve">           </w:t>
      </w:r>
      <w:r>
        <w:rPr>
          <w:rFonts w:hint="eastAsia" w:ascii="宋体" w:hAnsi="宋体" w:cs="宋体"/>
          <w:color w:val="auto"/>
          <w:highlight w:val="none"/>
          <w:u w:val="none"/>
        </w:rPr>
        <w:t>级或以上级别专业承包资质。</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3.5投标人拟担任本项目负责人的人员为：</w:t>
      </w:r>
      <w:r>
        <w:rPr>
          <w:rFonts w:hint="eastAsia" w:ascii="宋体" w:hAnsi="宋体" w:cs="宋体"/>
          <w:color w:val="auto"/>
          <w:highlight w:val="none"/>
          <w:u w:val="single"/>
        </w:rPr>
        <w:t xml:space="preserve">      </w:t>
      </w:r>
      <w:r>
        <w:rPr>
          <w:rFonts w:hint="eastAsia" w:ascii="宋体" w:hAnsi="宋体" w:cs="宋体"/>
          <w:color w:val="auto"/>
          <w:highlight w:val="none"/>
          <w:u w:val="none"/>
        </w:rPr>
        <w:t>专业</w:t>
      </w:r>
      <w:r>
        <w:rPr>
          <w:rFonts w:hint="eastAsia" w:ascii="宋体" w:hAnsi="宋体" w:cs="宋体"/>
          <w:color w:val="auto"/>
          <w:highlight w:val="none"/>
          <w:u w:val="single"/>
        </w:rPr>
        <w:t xml:space="preserve">   </w:t>
      </w:r>
      <w:r>
        <w:rPr>
          <w:rFonts w:hint="eastAsia" w:ascii="宋体" w:hAnsi="宋体" w:cs="宋体"/>
          <w:color w:val="auto"/>
          <w:highlight w:val="none"/>
          <w:u w:val="none"/>
        </w:rPr>
        <w:t>级或以上级别的注册建造师；同时具备有效的安全生产考核合格证（B类）或建筑施工企业项目负责人安全生产考核合格证书，且未在其他在建工程项目中担任项目负责人。</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3.6专职安全员须具有安全生产考核合格证（C类）或建筑施工企业专职安全生产管理人员安全生产考核合格证书。</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注：项目负责人在任职期间不得担任专职安全员，项目专职安全员在任职期间也不得担任项目负责人，项目负责人和专职安全员不为同一人。</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u w:val="none"/>
        </w:rPr>
      </w:pPr>
      <w:r>
        <w:rPr>
          <w:rFonts w:hint="eastAsia" w:cs="宋体"/>
          <w:color w:val="auto"/>
          <w:highlight w:val="none"/>
          <w:u w:val="none"/>
        </w:rPr>
        <w:t>3</w:t>
      </w:r>
      <w:r>
        <w:rPr>
          <w:rFonts w:hint="eastAsia" w:ascii="宋体" w:hAnsi="宋体" w:cs="宋体"/>
          <w:color w:val="auto"/>
          <w:highlight w:val="none"/>
          <w:u w:val="none"/>
        </w:rPr>
        <w:t>.</w:t>
      </w:r>
      <w:r>
        <w:rPr>
          <w:rFonts w:hint="eastAsia" w:cs="宋体"/>
          <w:color w:val="auto"/>
          <w:highlight w:val="none"/>
          <w:u w:val="none"/>
          <w:lang w:val="en-US" w:eastAsia="zh-CN"/>
        </w:rPr>
        <w:t>7</w:t>
      </w:r>
      <w:r>
        <w:rPr>
          <w:rFonts w:hint="eastAsia" w:ascii="宋体" w:hAnsi="宋体" w:cs="宋体"/>
          <w:color w:val="auto"/>
          <w:szCs w:val="21"/>
          <w:highlight w:val="none"/>
          <w:u w:val="none"/>
        </w:rPr>
        <w:t>本次招标</w:t>
      </w:r>
      <w:r>
        <w:rPr>
          <w:rFonts w:hint="eastAsia" w:ascii="宋体" w:hAnsi="宋体" w:cs="宋体"/>
          <w:color w:val="auto"/>
          <w:szCs w:val="21"/>
          <w:highlight w:val="none"/>
          <w:u w:val="single"/>
        </w:rPr>
        <w:t xml:space="preserve"> （接受/不接受）</w:t>
      </w:r>
      <w:r>
        <w:rPr>
          <w:rFonts w:hint="eastAsia" w:ascii="宋体" w:hAnsi="宋体" w:cs="宋体"/>
          <w:color w:val="auto"/>
          <w:szCs w:val="21"/>
          <w:highlight w:val="none"/>
          <w:u w:val="none"/>
        </w:rPr>
        <w:t>联合体投标。 联合体投标的，应满足</w:t>
      </w:r>
      <w:r>
        <w:rPr>
          <w:rFonts w:hint="eastAsia" w:ascii="宋体" w:hAnsi="宋体" w:cs="宋体"/>
          <w:color w:val="auto"/>
          <w:highlight w:val="none"/>
          <w:u w:val="none"/>
        </w:rPr>
        <w:t>下列要求：（采用单一资质的，招标人应明确是否允许联合体，涉及多资质的招标人应允许联合体投标；但法律规定应同时具备的除外）</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u w:val="none"/>
        </w:rPr>
      </w:pPr>
      <w:r>
        <w:rPr>
          <w:rFonts w:hint="eastAsia" w:ascii="宋体" w:hAnsi="宋体" w:cs="宋体"/>
          <w:color w:val="auto"/>
          <w:highlight w:val="none"/>
          <w:u w:val="none"/>
        </w:rPr>
        <w:t>如投标人组成联合体，应明确</w:t>
      </w:r>
      <w:r>
        <w:rPr>
          <w:rFonts w:hint="eastAsia" w:ascii="宋体" w:hAnsi="宋体" w:cs="宋体"/>
          <w:color w:val="auto"/>
          <w:highlight w:val="none"/>
          <w:u w:val="none"/>
          <w:lang w:val="en-US" w:eastAsia="zh-CN"/>
        </w:rPr>
        <w:t>牵头人（</w:t>
      </w:r>
      <w:r>
        <w:rPr>
          <w:rFonts w:hint="eastAsia" w:ascii="宋体" w:hAnsi="宋体" w:cs="宋体"/>
          <w:color w:val="auto"/>
          <w:highlight w:val="none"/>
          <w:u w:val="none"/>
        </w:rPr>
        <w:t>主办方</w:t>
      </w:r>
      <w:r>
        <w:rPr>
          <w:rFonts w:hint="eastAsia" w:ascii="宋体" w:hAnsi="宋体" w:cs="宋体"/>
          <w:color w:val="auto"/>
          <w:highlight w:val="none"/>
          <w:u w:val="none"/>
          <w:lang w:val="en-US" w:eastAsia="zh-CN"/>
        </w:rPr>
        <w:t>）</w:t>
      </w:r>
      <w:r>
        <w:rPr>
          <w:rFonts w:hint="eastAsia" w:ascii="宋体" w:hAnsi="宋体" w:cs="宋体"/>
          <w:color w:val="auto"/>
          <w:highlight w:val="none"/>
          <w:u w:val="none"/>
        </w:rPr>
        <w:t>，并</w:t>
      </w:r>
      <w:r>
        <w:rPr>
          <w:rFonts w:hint="eastAsia" w:ascii="宋体" w:hAnsi="宋体" w:cs="宋体"/>
          <w:color w:val="auto"/>
          <w:highlight w:val="none"/>
          <w:u w:val="none"/>
          <w:lang w:eastAsia="zh-CN"/>
        </w:rPr>
        <w:t>签订联合体</w:t>
      </w:r>
      <w:r>
        <w:rPr>
          <w:rFonts w:hint="eastAsia" w:ascii="宋体" w:hAnsi="宋体" w:cs="宋体"/>
          <w:color w:val="auto"/>
          <w:highlight w:val="none"/>
          <w:u w:val="none"/>
        </w:rPr>
        <w:t>工作协议。投标人拟任本项目负责人应为</w:t>
      </w:r>
      <w:r>
        <w:rPr>
          <w:rFonts w:hint="eastAsia" w:ascii="宋体" w:hAnsi="宋体" w:cs="宋体"/>
          <w:color w:val="auto"/>
          <w:highlight w:val="none"/>
          <w:u w:val="none"/>
          <w:lang w:val="en-US" w:eastAsia="zh-CN"/>
        </w:rPr>
        <w:t>牵头人</w:t>
      </w:r>
      <w:r>
        <w:rPr>
          <w:rFonts w:hint="eastAsia" w:ascii="宋体" w:hAnsi="宋体" w:cs="宋体"/>
          <w:color w:val="auto"/>
          <w:highlight w:val="none"/>
          <w:u w:val="none"/>
        </w:rPr>
        <w:t>正式员工。联合体工作协议应明确约定各方拟承担的工作和责任。</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u w:val="none"/>
        </w:rPr>
        <w:t>（1）组成联合体承接按资质标准划分</w:t>
      </w:r>
      <w:r>
        <w:rPr>
          <w:rFonts w:hint="eastAsia" w:ascii="宋体" w:hAnsi="宋体" w:cs="宋体"/>
          <w:color w:val="auto"/>
          <w:highlight w:val="none"/>
        </w:rPr>
        <w:t>为同一类工程的投标人，其人员、机械设备等资源性指标可合并计算。</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（2）组成联合体承接按资质标准划分为多类工程的投标人，应在联合体协议中明确承接每一类工程的成员单位。</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8</w:t>
      </w:r>
      <w:r>
        <w:rPr>
          <w:rFonts w:hint="eastAsia" w:ascii="宋体" w:hAnsi="宋体" w:cs="宋体"/>
          <w:color w:val="auto"/>
          <w:highlight w:val="none"/>
        </w:rPr>
        <w:t>信誉要求</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 xml:space="preserve">（1）没有被依法暂停或取消投标资格（指被本招标项目所在地县级及以上农业农村（或住建、水利、公共资源交易）行政主管部门暂停或取消投标资格或禁止进入该区域建设市场且处于有效期内）； </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（2）没有被责令停产停业、暂扣或者吊销许可证、暂扣或者吊销执照；</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（3）没有进入清算程序，或被宣告破产，或其他丧失履约能力的情形；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（4）在最近三年内没有发生重大工程质量问题（以相关行业主管部门的行政处罚决定或司法机关出具的有关法律文书为准）；</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（5）在“国家企业信用信息公示系统”（ ）中没有被列入严重违法失信企业名单；</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（6）在“信用中国”网站（www.creditchina.gov.cn）或“中国执行信息公开网”（http://zxgk.court.gov.cn/shixin/）没有被列入失信被执行人名单；</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（7）在近三年内投标人或其法定代表人、拟委任的项目负责人没有行贿犯罪行为。</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（8）不存在法律法规或投标人须知前附表第1.4.3（19）目规定的不得存在的其他情形。</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color w:val="auto"/>
          <w:highlight w:val="none"/>
        </w:rPr>
      </w:pPr>
      <w:r>
        <w:rPr>
          <w:rFonts w:hint="eastAsia"/>
          <w:color w:val="auto"/>
          <w:highlight w:val="none"/>
        </w:rPr>
        <w:t>3</w:t>
      </w:r>
      <w:r>
        <w:rPr>
          <w:rFonts w:hint="eastAsia" w:ascii="宋体" w:hAnsi="宋体" w:cs="宋体"/>
          <w:color w:val="auto"/>
          <w:highlight w:val="none"/>
        </w:rPr>
        <w:t>.</w:t>
      </w:r>
      <w:r>
        <w:rPr>
          <w:rFonts w:hint="eastAsia"/>
          <w:color w:val="auto"/>
          <w:highlight w:val="none"/>
          <w:lang w:val="en-US" w:eastAsia="zh-CN"/>
        </w:rPr>
        <w:t>9</w:t>
      </w:r>
      <w:r>
        <w:rPr>
          <w:rFonts w:hint="eastAsia"/>
          <w:color w:val="auto"/>
          <w:highlight w:val="none"/>
        </w:rPr>
        <w:t>资格审查前，投标人须在交易平台完成企业信息登记，及拟担任本工程项目负责人、专职安全员须是本企业信息登记中的在册人员。企业信息登记应按照交易平台关于企业信息登记的相关指南进行操作。详见：</w:t>
      </w:r>
      <w:r>
        <w:rPr>
          <w:rFonts w:hint="eastAsia"/>
          <w:color w:val="auto"/>
          <w:szCs w:val="21"/>
          <w:highlight w:val="none"/>
          <w:u w:val="single"/>
          <w:lang w:val="en-US" w:eastAsia="zh-CN"/>
        </w:rPr>
        <w:t xml:space="preserve">          </w:t>
      </w:r>
      <w:r>
        <w:rPr>
          <w:rFonts w:hint="eastAsia"/>
          <w:color w:val="auto"/>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color w:val="auto"/>
          <w:highlight w:val="none"/>
        </w:rPr>
      </w:pPr>
      <w:r>
        <w:rPr>
          <w:rFonts w:hint="eastAsia"/>
          <w:color w:val="auto"/>
          <w:highlight w:val="none"/>
        </w:rPr>
        <w:t>3.1</w:t>
      </w:r>
      <w:r>
        <w:rPr>
          <w:rFonts w:hint="eastAsia"/>
          <w:color w:val="auto"/>
          <w:highlight w:val="none"/>
          <w:lang w:val="en-US" w:eastAsia="zh-CN"/>
        </w:rPr>
        <w:t>0</w:t>
      </w:r>
      <w:r>
        <w:rPr>
          <w:rFonts w:hint="eastAsia"/>
          <w:color w:val="auto"/>
          <w:highlight w:val="none"/>
        </w:rPr>
        <w:t>其他</w:t>
      </w:r>
      <w:r>
        <w:rPr>
          <w:color w:val="auto"/>
          <w:highlight w:val="none"/>
        </w:rPr>
        <w:t>要求：____________</w:t>
      </w:r>
      <w:r>
        <w:rPr>
          <w:rFonts w:hint="eastAsia"/>
          <w:color w:val="auto"/>
          <w:highlight w:val="none"/>
        </w:rPr>
        <w:t>。</w:t>
      </w:r>
    </w:p>
    <w:bookmarkEnd w:id="112"/>
    <w:p>
      <w:pPr>
        <w:pStyle w:val="20"/>
        <w:spacing w:before="120" w:afterLines="50"/>
        <w:outlineLvl w:val="2"/>
        <w:rPr>
          <w:rFonts w:hint="eastAsia"/>
          <w:color w:val="auto"/>
          <w:highlight w:val="none"/>
        </w:rPr>
      </w:pPr>
      <w:bookmarkStart w:id="113" w:name="_Toc899841256"/>
      <w:bookmarkStart w:id="114" w:name="_Toc222029466"/>
      <w:bookmarkStart w:id="115" w:name="_Toc5342"/>
      <w:bookmarkStart w:id="116" w:name="_Toc144974483"/>
      <w:bookmarkStart w:id="117" w:name="_Toc221949930"/>
      <w:bookmarkStart w:id="118" w:name="_Toc1789"/>
      <w:bookmarkStart w:id="119" w:name="_Toc229305326"/>
      <w:bookmarkStart w:id="120" w:name="_Toc387753535"/>
      <w:bookmarkStart w:id="121" w:name="_Toc168475629"/>
      <w:bookmarkStart w:id="122" w:name="_Toc933282979"/>
      <w:bookmarkStart w:id="123" w:name="_Toc222033817"/>
      <w:bookmarkStart w:id="124" w:name="_Toc10699"/>
      <w:bookmarkStart w:id="125" w:name="_Toc222030968"/>
      <w:bookmarkStart w:id="126" w:name="_Toc222032635"/>
      <w:bookmarkStart w:id="127" w:name="_Toc1544"/>
      <w:bookmarkStart w:id="128" w:name="_Toc12445"/>
      <w:bookmarkStart w:id="129" w:name="_Toc168476032"/>
      <w:bookmarkStart w:id="130" w:name="_Toc27249"/>
      <w:r>
        <w:rPr>
          <w:rFonts w:hint="eastAsia"/>
          <w:color w:val="auto"/>
          <w:highlight w:val="none"/>
        </w:rPr>
        <w:t>4. 招标文件的获取</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pPr>
        <w:adjustRightInd w:val="0"/>
        <w:snapToGrid w:val="0"/>
        <w:spacing w:line="360" w:lineRule="auto"/>
        <w:ind w:firstLine="420" w:firstLineChars="200"/>
        <w:rPr>
          <w:rFonts w:ascii="宋体" w:hAnsi="宋体" w:cs="宋体"/>
          <w:color w:val="auto"/>
          <w:szCs w:val="21"/>
          <w:highlight w:val="none"/>
        </w:rPr>
      </w:pPr>
      <w:bookmarkStart w:id="131" w:name="_Toc229305327"/>
      <w:bookmarkStart w:id="132" w:name="_Toc222029467"/>
      <w:bookmarkStart w:id="133" w:name="_Toc168475630"/>
      <w:bookmarkStart w:id="134" w:name="_Toc222033818"/>
      <w:bookmarkStart w:id="135" w:name="_Toc387753536"/>
      <w:bookmarkStart w:id="136" w:name="_Toc144974484"/>
      <w:bookmarkStart w:id="137" w:name="_Toc168476033"/>
      <w:bookmarkStart w:id="138" w:name="_Toc222030969"/>
      <w:bookmarkStart w:id="139" w:name="_Toc222032636"/>
      <w:bookmarkStart w:id="140" w:name="_Toc221949934"/>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color w:val="auto"/>
          <w:highlight w:val="none"/>
        </w:rPr>
        <w:t>凡有意参加投标者（若为联合体投标，指联合体所有成员），应当在</w:t>
      </w:r>
      <w:r>
        <w:rPr>
          <w:rFonts w:hint="eastAsia"/>
          <w:color w:val="auto"/>
          <w:highlight w:val="none"/>
          <w:u w:val="single"/>
          <w:lang w:val="en-US" w:eastAsia="zh-CN"/>
        </w:rPr>
        <w:t xml:space="preserve">    </w:t>
      </w:r>
      <w:r>
        <w:rPr>
          <w:rFonts w:hint="eastAsia"/>
          <w:color w:val="auto"/>
          <w:highlight w:val="none"/>
          <w:u w:val="single"/>
        </w:rPr>
        <w:t>交易平台</w:t>
      </w:r>
      <w:r>
        <w:rPr>
          <w:rFonts w:hint="eastAsia"/>
          <w:color w:val="auto"/>
          <w:highlight w:val="none"/>
        </w:rPr>
        <w:t>（以下简称“电子交易平台”，下同）（网址：</w:t>
      </w:r>
      <w:r>
        <w:rPr>
          <w:color w:val="auto"/>
          <w:highlight w:val="none"/>
        </w:rPr>
        <w:t>____________</w:t>
      </w:r>
      <w:r>
        <w:rPr>
          <w:rFonts w:hint="eastAsia"/>
          <w:color w:val="auto"/>
          <w:highlight w:val="none"/>
        </w:rPr>
        <w:t>）进行注册登记，并办理CA数字证书（具体按照交易平台的相关指南进行操作，详见</w:t>
      </w:r>
      <w:r>
        <w:rPr>
          <w:color w:val="auto"/>
          <w:highlight w:val="none"/>
        </w:rPr>
        <w:t>____________</w:t>
      </w:r>
      <w:r>
        <w:rPr>
          <w:rFonts w:hint="eastAsia"/>
          <w:color w:val="auto"/>
          <w:highlight w:val="none"/>
        </w:rPr>
        <w:t>）。</w:t>
      </w:r>
    </w:p>
    <w:p>
      <w:pPr>
        <w:adjustRightInd w:val="0"/>
        <w:snapToGrid w:val="0"/>
        <w:spacing w:line="360" w:lineRule="auto"/>
        <w:ind w:firstLine="420" w:firstLineChars="200"/>
        <w:rPr>
          <w:color w:val="auto"/>
          <w:highlight w:val="none"/>
        </w:rPr>
      </w:pP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完成注册登记后，</w:t>
      </w:r>
      <w:r>
        <w:rPr>
          <w:rFonts w:hint="eastAsia" w:ascii="宋体" w:hAnsi="宋体" w:cs="宋体"/>
          <w:color w:val="auto"/>
          <w:highlight w:val="none"/>
        </w:rPr>
        <w:t>请于</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日至</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分止</w:t>
      </w:r>
      <w:r>
        <w:rPr>
          <w:rFonts w:hint="eastAsia" w:ascii="宋体" w:hAnsi="宋体" w:cs="宋体"/>
          <w:color w:val="auto"/>
          <w:szCs w:val="21"/>
          <w:highlight w:val="none"/>
        </w:rPr>
        <w:t>（北京时间，下同）</w:t>
      </w:r>
      <w:r>
        <w:rPr>
          <w:rFonts w:hint="eastAsia" w:ascii="宋体" w:hAnsi="宋体" w:cs="宋体"/>
          <w:color w:val="auto"/>
          <w:highlight w:val="none"/>
        </w:rPr>
        <w:t>，通过互联网使用</w:t>
      </w:r>
      <w:r>
        <w:rPr>
          <w:rFonts w:hint="eastAsia" w:ascii="宋体" w:hAnsi="宋体" w:cs="宋体"/>
          <w:color w:val="auto"/>
          <w:szCs w:val="21"/>
          <w:highlight w:val="none"/>
        </w:rPr>
        <w:t>CA数字证书</w:t>
      </w:r>
      <w:r>
        <w:rPr>
          <w:rFonts w:hint="eastAsia" w:ascii="宋体" w:hAnsi="宋体" w:cs="宋体"/>
          <w:color w:val="auto"/>
          <w:highlight w:val="none"/>
        </w:rPr>
        <w:t>登录“电子交易平台”</w:t>
      </w:r>
      <w:r>
        <w:rPr>
          <w:rFonts w:hint="eastAsia" w:ascii="宋体" w:hAnsi="宋体" w:cs="宋体"/>
          <w:color w:val="auto"/>
          <w:szCs w:val="21"/>
          <w:highlight w:val="none"/>
        </w:rPr>
        <w:t>，在所投标段免费下载招标文件。联合体投标的，由联合体牵头人下载招标文件（具体操作按照交易平台的相关指南进行，详见</w:t>
      </w:r>
      <w:r>
        <w:rPr>
          <w:rFonts w:hint="eastAsia" w:ascii="宋体" w:hAnsi="宋体" w:cs="宋体"/>
          <w:color w:val="auto"/>
          <w:highlight w:val="none"/>
          <w:u w:val="single"/>
          <w:lang w:val="en-US" w:eastAsia="zh-CN"/>
        </w:rPr>
        <w:t xml:space="preserve">    </w:t>
      </w:r>
      <w:r>
        <w:rPr>
          <w:rFonts w:hint="eastAsia"/>
          <w:color w:val="auto"/>
          <w:highlight w:val="none"/>
        </w:rPr>
        <w:t>）。</w:t>
      </w:r>
      <w:r>
        <w:rPr>
          <w:rFonts w:hint="eastAsia" w:ascii="宋体" w:hAnsi="宋体" w:cs="宋体"/>
          <w:color w:val="auto"/>
          <w:szCs w:val="21"/>
          <w:highlight w:val="none"/>
        </w:rPr>
        <w:t>未按规定从“电子交易平台”下载招标文件的，</w:t>
      </w:r>
      <w:r>
        <w:rPr>
          <w:rFonts w:hint="eastAsia"/>
          <w:color w:val="auto"/>
          <w:highlight w:val="none"/>
        </w:rPr>
        <w:t>招标人（“</w:t>
      </w:r>
      <w:r>
        <w:rPr>
          <w:color w:val="auto"/>
          <w:highlight w:val="none"/>
        </w:rPr>
        <w:t>电子</w:t>
      </w:r>
      <w:r>
        <w:rPr>
          <w:rFonts w:hint="eastAsia"/>
          <w:color w:val="auto"/>
          <w:highlight w:val="none"/>
        </w:rPr>
        <w:t>交易平台”）拒收其投标文件。</w:t>
      </w:r>
    </w:p>
    <w:p>
      <w:pPr>
        <w:pStyle w:val="20"/>
        <w:spacing w:before="120" w:afterLines="50"/>
        <w:outlineLvl w:val="2"/>
        <w:rPr>
          <w:color w:val="auto"/>
          <w:highlight w:val="none"/>
        </w:rPr>
      </w:pPr>
      <w:bookmarkStart w:id="141" w:name="_Toc2815"/>
      <w:bookmarkStart w:id="142" w:name="_Toc27825"/>
      <w:bookmarkStart w:id="143" w:name="_Toc1143022034"/>
      <w:bookmarkStart w:id="144" w:name="_Toc1314950961"/>
      <w:bookmarkStart w:id="145" w:name="_Toc7337"/>
      <w:bookmarkStart w:id="146" w:name="_Toc5300"/>
      <w:bookmarkStart w:id="147" w:name="_Toc23646"/>
      <w:bookmarkStart w:id="148" w:name="_Toc21756"/>
      <w:r>
        <w:rPr>
          <w:rFonts w:hint="eastAsia"/>
          <w:color w:val="auto"/>
          <w:highlight w:val="none"/>
        </w:rPr>
        <w:t>5. 公告发布日期、递交投标文件时间与开标时间</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pPr>
        <w:spacing w:line="360" w:lineRule="auto"/>
        <w:rPr>
          <w:color w:val="auto"/>
          <w:szCs w:val="21"/>
          <w:highlight w:val="none"/>
        </w:rPr>
      </w:pPr>
      <w:bookmarkStart w:id="149" w:name="_Toc229305329"/>
      <w:bookmarkStart w:id="150" w:name="_Toc222030971"/>
      <w:bookmarkStart w:id="151" w:name="_Toc222029469"/>
      <w:bookmarkStart w:id="152" w:name="_Toc221949939"/>
      <w:bookmarkStart w:id="153" w:name="_Toc222032638"/>
      <w:bookmarkStart w:id="154" w:name="_Toc387753538"/>
      <w:bookmarkStart w:id="155" w:name="_Toc222033820"/>
      <w:bookmarkStart w:id="156" w:name="_Toc168475631"/>
      <w:bookmarkStart w:id="157" w:name="_Toc168476034"/>
      <w:r>
        <w:rPr>
          <w:color w:val="auto"/>
          <w:szCs w:val="21"/>
          <w:highlight w:val="none"/>
        </w:rPr>
        <w:t xml:space="preserve">    5</w:t>
      </w:r>
      <w:r>
        <w:rPr>
          <w:rFonts w:ascii="宋体" w:hAnsi="宋体"/>
          <w:color w:val="auto"/>
          <w:szCs w:val="21"/>
          <w:highlight w:val="none"/>
        </w:rPr>
        <w:t>.</w:t>
      </w:r>
      <w:r>
        <w:rPr>
          <w:color w:val="auto"/>
          <w:szCs w:val="21"/>
          <w:highlight w:val="none"/>
        </w:rPr>
        <w:t>1</w:t>
      </w:r>
      <w:r>
        <w:rPr>
          <w:rFonts w:hint="eastAsia"/>
          <w:color w:val="auto"/>
          <w:szCs w:val="21"/>
          <w:highlight w:val="none"/>
        </w:rPr>
        <w:t>公告发布日期（含本日）：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分至</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color w:val="auto"/>
          <w:highlight w:val="none"/>
        </w:rPr>
        <w:t>。</w:t>
      </w:r>
      <w:r>
        <w:rPr>
          <w:rFonts w:hint="eastAsia"/>
          <w:color w:val="auto"/>
          <w:szCs w:val="21"/>
          <w:highlight w:val="none"/>
        </w:rPr>
        <w:t>凡有意参加投标者，请自行登录电子交易平台网站下载电子招标文件。</w:t>
      </w:r>
    </w:p>
    <w:p>
      <w:pPr>
        <w:adjustRightInd w:val="0"/>
        <w:snapToGrid w:val="0"/>
        <w:spacing w:line="360" w:lineRule="auto"/>
        <w:ind w:firstLine="420" w:firstLineChars="200"/>
        <w:rPr>
          <w:color w:val="auto"/>
          <w:highlight w:val="none"/>
        </w:rPr>
      </w:pPr>
      <w:r>
        <w:rPr>
          <w:rFonts w:hint="eastAsia"/>
          <w:color w:val="auto"/>
          <w:highlight w:val="none"/>
        </w:rPr>
        <w:t>注：招标公告网上发布时，同时发布招标文件等相关资料。招标公告发布之日起计算编制投标文件时间，编制投标文件的时间不得少于20天。如招标人需发布补充公告的，以最后发布的补充公告的时间起计算编制投标文件时间，并需在补充公告中明确说明。</w:t>
      </w:r>
    </w:p>
    <w:p>
      <w:pPr>
        <w:adjustRightInd w:val="0"/>
        <w:snapToGrid w:val="0"/>
        <w:spacing w:line="360" w:lineRule="auto"/>
        <w:ind w:firstLine="420" w:firstLineChars="200"/>
        <w:rPr>
          <w:color w:val="auto"/>
          <w:highlight w:val="none"/>
        </w:rPr>
      </w:pPr>
      <w:r>
        <w:rPr>
          <w:rFonts w:hint="eastAsia"/>
          <w:color w:val="auto"/>
          <w:highlight w:val="none"/>
        </w:rPr>
        <w:t>5.2递交投标文件起始时间：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color w:val="auto"/>
          <w:highlight w:val="none"/>
        </w:rPr>
        <w:t>；</w:t>
      </w:r>
    </w:p>
    <w:p>
      <w:pPr>
        <w:adjustRightInd w:val="0"/>
        <w:snapToGrid w:val="0"/>
        <w:spacing w:line="360" w:lineRule="auto"/>
        <w:ind w:firstLine="2100" w:firstLineChars="1000"/>
        <w:rPr>
          <w:color w:val="auto"/>
          <w:highlight w:val="none"/>
        </w:rPr>
      </w:pPr>
      <w:r>
        <w:rPr>
          <w:rFonts w:hint="eastAsia"/>
          <w:color w:val="auto"/>
          <w:highlight w:val="none"/>
        </w:rPr>
        <w:t>截止时间：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color w:val="auto"/>
          <w:highlight w:val="none"/>
        </w:rPr>
        <w:t>。</w:t>
      </w:r>
    </w:p>
    <w:p>
      <w:pPr>
        <w:adjustRightInd w:val="0"/>
        <w:snapToGrid w:val="0"/>
        <w:spacing w:line="360" w:lineRule="auto"/>
        <w:ind w:firstLine="420" w:firstLineChars="200"/>
        <w:rPr>
          <w:color w:val="auto"/>
          <w:highlight w:val="none"/>
        </w:rPr>
      </w:pPr>
      <w:r>
        <w:rPr>
          <w:rFonts w:hint="eastAsia"/>
          <w:color w:val="auto"/>
          <w:highlight w:val="none"/>
        </w:rPr>
        <w:t>5.3（选择性条款）递交投标文件备用光盘时间：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分至</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color w:val="auto"/>
          <w:highlight w:val="none"/>
        </w:rPr>
        <w:t>；递交地点：</w:t>
      </w:r>
      <w:r>
        <w:rPr>
          <w:rFonts w:hint="eastAsia"/>
          <w:color w:val="auto"/>
          <w:highlight w:val="none"/>
          <w:u w:val="single"/>
          <w:lang w:val="en-US" w:eastAsia="zh-CN"/>
        </w:rPr>
        <w:t xml:space="preserve">        </w:t>
      </w:r>
      <w:r>
        <w:rPr>
          <w:rFonts w:hint="eastAsia"/>
          <w:color w:val="auto"/>
          <w:highlight w:val="none"/>
        </w:rPr>
        <w:t>。(建议安排在投标文件截止时间前15分钟至投标文件截止时间）</w:t>
      </w:r>
    </w:p>
    <w:p>
      <w:pPr>
        <w:adjustRightInd w:val="0"/>
        <w:snapToGrid w:val="0"/>
        <w:spacing w:line="360" w:lineRule="auto"/>
        <w:ind w:firstLine="420" w:firstLineChars="200"/>
        <w:rPr>
          <w:rFonts w:hint="eastAsia" w:ascii="宋体" w:hAnsi="宋体" w:eastAsia="宋体" w:cs="宋体"/>
          <w:color w:val="auto"/>
          <w:szCs w:val="21"/>
          <w:highlight w:val="none"/>
          <w:lang w:eastAsia="zh-CN"/>
        </w:rPr>
      </w:pPr>
      <w:r>
        <w:rPr>
          <w:rFonts w:hint="eastAsia"/>
          <w:color w:val="auto"/>
          <w:highlight w:val="none"/>
        </w:rPr>
        <w:t>5.4开标开始时间：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ascii="宋体" w:hAnsi="宋体" w:cs="宋体"/>
          <w:color w:val="auto"/>
          <w:highlight w:val="none"/>
          <w:lang w:eastAsia="zh-CN"/>
        </w:rPr>
        <w:t>；</w:t>
      </w:r>
    </w:p>
    <w:p>
      <w:pPr>
        <w:spacing w:line="360" w:lineRule="auto"/>
        <w:ind w:firstLine="420"/>
        <w:rPr>
          <w:color w:val="auto"/>
          <w:szCs w:val="21"/>
          <w:highlight w:val="none"/>
        </w:rPr>
      </w:pPr>
      <w:r>
        <w:rPr>
          <w:color w:val="auto"/>
          <w:szCs w:val="21"/>
          <w:highlight w:val="none"/>
        </w:rPr>
        <w:t>5</w:t>
      </w:r>
      <w:r>
        <w:rPr>
          <w:rFonts w:ascii="宋体" w:hAnsi="宋体"/>
          <w:color w:val="auto"/>
          <w:szCs w:val="21"/>
          <w:highlight w:val="none"/>
        </w:rPr>
        <w:t>.</w:t>
      </w:r>
      <w:r>
        <w:rPr>
          <w:rFonts w:hint="eastAsia"/>
          <w:color w:val="auto"/>
          <w:szCs w:val="21"/>
          <w:highlight w:val="none"/>
        </w:rPr>
        <w:t>5递交投标文件截止时间与开标时间是否有变化，请密切留意招标答疑中的相关信息。递交投标文件截止时间后，开标时间因故推迟的，相关评标信息仍以原递交投标文件截止时间的信息为准。</w:t>
      </w:r>
    </w:p>
    <w:p>
      <w:pPr>
        <w:spacing w:line="360" w:lineRule="auto"/>
        <w:ind w:firstLine="420"/>
        <w:rPr>
          <w:color w:val="auto"/>
          <w:highlight w:val="none"/>
        </w:rPr>
      </w:pPr>
      <w:r>
        <w:rPr>
          <w:rFonts w:hint="eastAsia"/>
          <w:color w:val="auto"/>
          <w:highlight w:val="none"/>
        </w:rPr>
        <w:t>5.6投标人通过电子交易平台递交电子投标文件。投标人应当在投标截止时间前，登录电子交易平台网站办理网上投标登记手续，并</w:t>
      </w:r>
      <w:r>
        <w:rPr>
          <w:color w:val="auto"/>
          <w:highlight w:val="none"/>
        </w:rPr>
        <w:t>通过</w:t>
      </w:r>
      <w:r>
        <w:rPr>
          <w:rFonts w:hint="eastAsia"/>
          <w:color w:val="auto"/>
          <w:highlight w:val="none"/>
        </w:rPr>
        <w:t>互联网</w:t>
      </w:r>
      <w:r>
        <w:rPr>
          <w:color w:val="auto"/>
          <w:highlight w:val="none"/>
        </w:rPr>
        <w:t>使用</w:t>
      </w:r>
      <w:r>
        <w:rPr>
          <w:rFonts w:hint="eastAsia"/>
          <w:color w:val="auto"/>
          <w:highlight w:val="none"/>
        </w:rPr>
        <w:t>CA数字证书登录“电子交易平台”，选择所投标段将</w:t>
      </w:r>
      <w:r>
        <w:rPr>
          <w:rFonts w:hint="eastAsia"/>
          <w:b/>
          <w:color w:val="auto"/>
          <w:highlight w:val="none"/>
        </w:rPr>
        <w:t>加密的电子投标文件</w:t>
      </w:r>
      <w:r>
        <w:rPr>
          <w:rFonts w:hint="eastAsia"/>
          <w:color w:val="auto"/>
          <w:highlight w:val="none"/>
        </w:rPr>
        <w:t>上传（按照电子交易平台的相关指南进行操作。详见：</w:t>
      </w:r>
      <w:r>
        <w:rPr>
          <w:rFonts w:hint="eastAsia"/>
          <w:color w:val="auto"/>
          <w:highlight w:val="none"/>
          <w:u w:val="single"/>
          <w:lang w:val="en-US" w:eastAsia="zh-CN"/>
        </w:rPr>
        <w:t xml:space="preserve">      </w:t>
      </w:r>
      <w:r>
        <w:rPr>
          <w:rFonts w:hint="eastAsia"/>
          <w:color w:val="auto"/>
          <w:highlight w:val="none"/>
        </w:rPr>
        <w:t>）。投标人完成投标文件上传后，“</w:t>
      </w:r>
      <w:r>
        <w:rPr>
          <w:color w:val="auto"/>
          <w:highlight w:val="none"/>
        </w:rPr>
        <w:t>电子</w:t>
      </w:r>
      <w:r>
        <w:rPr>
          <w:rFonts w:hint="eastAsia"/>
          <w:color w:val="auto"/>
          <w:highlight w:val="none"/>
        </w:rPr>
        <w:t>交易平台”即时向投标人发出</w:t>
      </w:r>
      <w:r>
        <w:rPr>
          <w:color w:val="auto"/>
          <w:highlight w:val="none"/>
        </w:rPr>
        <w:t>电子签收凭证</w:t>
      </w:r>
      <w:r>
        <w:rPr>
          <w:rFonts w:hint="eastAsia"/>
          <w:color w:val="auto"/>
          <w:highlight w:val="none"/>
        </w:rPr>
        <w:t>，递交时间以</w:t>
      </w:r>
      <w:r>
        <w:rPr>
          <w:color w:val="auto"/>
          <w:highlight w:val="none"/>
        </w:rPr>
        <w:t>电子签收凭证</w:t>
      </w:r>
      <w:r>
        <w:rPr>
          <w:rFonts w:hint="eastAsia"/>
          <w:color w:val="auto"/>
          <w:highlight w:val="none"/>
        </w:rPr>
        <w:t>载明的传输完成时间为准。逾</w:t>
      </w:r>
      <w:r>
        <w:rPr>
          <w:color w:val="auto"/>
          <w:highlight w:val="none"/>
        </w:rPr>
        <w:t>期未完成上传</w:t>
      </w:r>
      <w:r>
        <w:rPr>
          <w:rFonts w:hint="eastAsia"/>
          <w:color w:val="auto"/>
          <w:highlight w:val="none"/>
        </w:rPr>
        <w:t>或未加密的</w:t>
      </w:r>
      <w:r>
        <w:rPr>
          <w:color w:val="auto"/>
          <w:highlight w:val="none"/>
        </w:rPr>
        <w:t>电子</w:t>
      </w:r>
      <w:r>
        <w:rPr>
          <w:rFonts w:hint="eastAsia"/>
          <w:color w:val="auto"/>
          <w:highlight w:val="none"/>
        </w:rPr>
        <w:t>投标文件</w:t>
      </w:r>
      <w:r>
        <w:rPr>
          <w:color w:val="auto"/>
          <w:highlight w:val="none"/>
        </w:rPr>
        <w:t>，招标人</w:t>
      </w:r>
      <w:r>
        <w:rPr>
          <w:rFonts w:hint="eastAsia"/>
          <w:color w:val="auto"/>
          <w:highlight w:val="none"/>
        </w:rPr>
        <w:t>（“</w:t>
      </w:r>
      <w:r>
        <w:rPr>
          <w:color w:val="auto"/>
          <w:highlight w:val="none"/>
        </w:rPr>
        <w:t>电子</w:t>
      </w:r>
      <w:r>
        <w:rPr>
          <w:rFonts w:hint="eastAsia"/>
          <w:color w:val="auto"/>
          <w:highlight w:val="none"/>
        </w:rPr>
        <w:t>交易平台”）</w:t>
      </w:r>
      <w:r>
        <w:rPr>
          <w:color w:val="auto"/>
          <w:highlight w:val="none"/>
        </w:rPr>
        <w:t>将拒收。</w:t>
      </w:r>
    </w:p>
    <w:p>
      <w:pPr>
        <w:pStyle w:val="20"/>
        <w:spacing w:before="120" w:afterLines="50"/>
        <w:outlineLvl w:val="2"/>
        <w:rPr>
          <w:rFonts w:hint="eastAsia"/>
          <w:color w:val="auto"/>
          <w:highlight w:val="none"/>
        </w:rPr>
      </w:pPr>
      <w:bookmarkStart w:id="158" w:name="_Toc25079"/>
      <w:bookmarkStart w:id="159" w:name="_Toc19678"/>
      <w:bookmarkStart w:id="160" w:name="_Toc1526851159"/>
      <w:bookmarkStart w:id="161" w:name="_Toc22977"/>
      <w:bookmarkStart w:id="162" w:name="_Toc1015"/>
      <w:bookmarkStart w:id="163" w:name="_Toc27692"/>
      <w:bookmarkStart w:id="164" w:name="_Toc103634291"/>
      <w:bookmarkStart w:id="165" w:name="_Toc24380"/>
      <w:r>
        <w:rPr>
          <w:rFonts w:hint="eastAsia"/>
          <w:color w:val="auto"/>
          <w:highlight w:val="none"/>
        </w:rPr>
        <w:t>6.投标相关事宜</w:t>
      </w:r>
      <w:bookmarkEnd w:id="158"/>
      <w:bookmarkEnd w:id="159"/>
      <w:bookmarkEnd w:id="160"/>
      <w:bookmarkEnd w:id="161"/>
      <w:bookmarkEnd w:id="162"/>
      <w:bookmarkEnd w:id="163"/>
      <w:bookmarkEnd w:id="164"/>
      <w:bookmarkEnd w:id="165"/>
    </w:p>
    <w:p>
      <w:pPr>
        <w:spacing w:afterLines="50" w:line="460" w:lineRule="exact"/>
        <w:rPr>
          <w:rFonts w:hint="default" w:eastAsia="宋体"/>
          <w:color w:val="auto"/>
          <w:highlight w:val="none"/>
          <w:lang w:val="en-US" w:eastAsia="zh-CN"/>
        </w:rPr>
      </w:pPr>
      <w:r>
        <w:rPr>
          <w:rFonts w:hint="eastAsia"/>
          <w:color w:val="auto"/>
          <w:highlight w:val="none"/>
          <w:u w:val="single"/>
          <w:lang w:val="en-US" w:eastAsia="zh-CN"/>
        </w:rPr>
        <w:t xml:space="preserve">            </w:t>
      </w:r>
      <w:r>
        <w:rPr>
          <w:rFonts w:hint="eastAsia"/>
          <w:color w:val="auto"/>
          <w:highlight w:val="none"/>
          <w:u w:val="none"/>
          <w:lang w:val="en-US" w:eastAsia="zh-CN"/>
        </w:rPr>
        <w:t>。</w:t>
      </w:r>
    </w:p>
    <w:p>
      <w:pPr>
        <w:pStyle w:val="20"/>
        <w:spacing w:before="120" w:afterLines="50"/>
        <w:outlineLvl w:val="2"/>
        <w:rPr>
          <w:rFonts w:hint="eastAsia"/>
          <w:color w:val="auto"/>
          <w:highlight w:val="none"/>
        </w:rPr>
      </w:pPr>
      <w:bookmarkStart w:id="166" w:name="_Toc8653"/>
      <w:bookmarkStart w:id="167" w:name="_Toc29276"/>
      <w:bookmarkStart w:id="168" w:name="_Toc1837295352"/>
      <w:bookmarkStart w:id="169" w:name="_Toc1763"/>
      <w:bookmarkStart w:id="170" w:name="_Toc25148"/>
      <w:bookmarkStart w:id="171" w:name="_Toc12346225"/>
      <w:bookmarkStart w:id="172" w:name="_Toc1029"/>
      <w:bookmarkStart w:id="173" w:name="_Toc11828"/>
      <w:r>
        <w:rPr>
          <w:rFonts w:hint="eastAsia"/>
          <w:color w:val="auto"/>
          <w:highlight w:val="none"/>
        </w:rPr>
        <w:t>7.资格审查方式评标办法</w:t>
      </w:r>
      <w:bookmarkEnd w:id="166"/>
      <w:bookmarkEnd w:id="167"/>
      <w:bookmarkEnd w:id="168"/>
      <w:bookmarkEnd w:id="169"/>
      <w:bookmarkEnd w:id="170"/>
      <w:bookmarkEnd w:id="171"/>
      <w:bookmarkEnd w:id="172"/>
      <w:bookmarkEnd w:id="173"/>
    </w:p>
    <w:p>
      <w:pPr>
        <w:spacing w:afterLines="50" w:line="460" w:lineRule="exact"/>
        <w:ind w:firstLine="437"/>
        <w:rPr>
          <w:color w:val="auto"/>
          <w:highlight w:val="none"/>
        </w:rPr>
      </w:pPr>
      <w:r>
        <w:rPr>
          <w:rFonts w:hint="eastAsia"/>
          <w:color w:val="auto"/>
          <w:highlight w:val="none"/>
        </w:rPr>
        <w:t>7.1本次招标采用资格后审方式，由评标委员会负责资格审查。资格审查结果将在网站进行公示，公示时间不得少于3日</w:t>
      </w:r>
      <w:r>
        <w:rPr>
          <w:rFonts w:hint="eastAsia"/>
          <w:color w:val="auto"/>
          <w:highlight w:val="none"/>
          <w:lang w:eastAsia="zh-CN"/>
        </w:rPr>
        <w:t>（</w:t>
      </w:r>
      <w:r>
        <w:rPr>
          <w:rFonts w:hint="eastAsia"/>
          <w:color w:val="auto"/>
          <w:highlight w:val="none"/>
          <w:lang w:val="en-US" w:eastAsia="zh-CN"/>
        </w:rPr>
        <w:t>最后一天须为工作日</w:t>
      </w:r>
      <w:r>
        <w:rPr>
          <w:rFonts w:hint="eastAsia"/>
          <w:color w:val="auto"/>
          <w:highlight w:val="none"/>
          <w:lang w:eastAsia="zh-CN"/>
        </w:rPr>
        <w:t>）</w:t>
      </w:r>
      <w:r>
        <w:rPr>
          <w:rFonts w:hint="eastAsia"/>
          <w:color w:val="auto"/>
          <w:highlight w:val="none"/>
        </w:rPr>
        <w:t>。</w:t>
      </w:r>
    </w:p>
    <w:p>
      <w:pPr>
        <w:spacing w:afterLines="50" w:line="460" w:lineRule="exact"/>
        <w:ind w:firstLine="437"/>
        <w:rPr>
          <w:color w:val="auto"/>
          <w:highlight w:val="none"/>
        </w:rPr>
      </w:pPr>
      <w:r>
        <w:rPr>
          <w:rFonts w:hint="eastAsia"/>
          <w:color w:val="auto"/>
          <w:highlight w:val="none"/>
        </w:rPr>
        <w:t>满足资格审查合格条件的投标人不足3名或通过有效性审查的投标人不足3名时为招标失败。招标人分析招标失败原因，修正招标方案，报有关管理部门核准后，重新组织招标。</w:t>
      </w:r>
    </w:p>
    <w:p>
      <w:pPr>
        <w:spacing w:afterLines="50" w:line="460" w:lineRule="exact"/>
        <w:ind w:firstLine="437"/>
        <w:rPr>
          <w:color w:val="auto"/>
          <w:highlight w:val="none"/>
        </w:rPr>
      </w:pPr>
      <w:r>
        <w:rPr>
          <w:rFonts w:hint="eastAsia"/>
          <w:color w:val="auto"/>
          <w:highlight w:val="none"/>
        </w:rPr>
        <w:t>7.2本次招标评标办法采用</w:t>
      </w:r>
      <w:r>
        <w:rPr>
          <w:rFonts w:hint="eastAsia"/>
          <w:color w:val="auto"/>
          <w:highlight w:val="none"/>
          <w:lang w:val="en-US" w:eastAsia="zh-CN"/>
        </w:rPr>
        <w:t>综合评分法</w:t>
      </w:r>
      <w:r>
        <w:rPr>
          <w:rFonts w:hint="eastAsia"/>
          <w:color w:val="auto"/>
          <w:highlight w:val="none"/>
        </w:rPr>
        <w:t>。</w:t>
      </w:r>
    </w:p>
    <w:p>
      <w:pPr>
        <w:pStyle w:val="20"/>
        <w:spacing w:before="120" w:afterLines="50"/>
        <w:outlineLvl w:val="2"/>
        <w:rPr>
          <w:rFonts w:hint="eastAsia"/>
          <w:color w:val="auto"/>
          <w:highlight w:val="none"/>
        </w:rPr>
      </w:pPr>
      <w:bookmarkStart w:id="174" w:name="_Toc1170"/>
      <w:bookmarkStart w:id="175" w:name="_Toc12949"/>
      <w:bookmarkStart w:id="176" w:name="_Toc3352"/>
      <w:bookmarkStart w:id="177" w:name="_Toc317831565"/>
      <w:bookmarkStart w:id="178" w:name="_Toc30310"/>
      <w:bookmarkStart w:id="179" w:name="_Toc4594"/>
      <w:bookmarkStart w:id="180" w:name="_Toc24057"/>
      <w:bookmarkStart w:id="181" w:name="_Toc1298211293"/>
      <w:r>
        <w:rPr>
          <w:rFonts w:hint="eastAsia"/>
          <w:color w:val="auto"/>
          <w:highlight w:val="none"/>
        </w:rPr>
        <w:t>8. 发布公告的媒介</w:t>
      </w:r>
      <w:bookmarkEnd w:id="149"/>
      <w:bookmarkEnd w:id="150"/>
      <w:bookmarkEnd w:id="151"/>
      <w:bookmarkEnd w:id="152"/>
      <w:bookmarkEnd w:id="153"/>
      <w:bookmarkEnd w:id="154"/>
      <w:bookmarkEnd w:id="155"/>
      <w:bookmarkEnd w:id="156"/>
      <w:bookmarkEnd w:id="157"/>
      <w:bookmarkEnd w:id="174"/>
      <w:bookmarkEnd w:id="175"/>
      <w:bookmarkEnd w:id="176"/>
      <w:bookmarkEnd w:id="177"/>
      <w:bookmarkEnd w:id="178"/>
      <w:bookmarkEnd w:id="179"/>
      <w:bookmarkEnd w:id="180"/>
      <w:bookmarkEnd w:id="181"/>
    </w:p>
    <w:p>
      <w:pPr>
        <w:spacing w:line="440" w:lineRule="exact"/>
        <w:ind w:firstLine="437"/>
        <w:rPr>
          <w:color w:val="auto"/>
          <w:highlight w:val="none"/>
        </w:rPr>
      </w:pPr>
      <w:bookmarkStart w:id="182" w:name="_Toc168475632"/>
      <w:bookmarkStart w:id="183" w:name="_Toc144974485"/>
      <w:bookmarkStart w:id="184" w:name="_Toc387753539"/>
      <w:bookmarkStart w:id="185" w:name="_Toc222033821"/>
      <w:bookmarkStart w:id="186" w:name="_Toc222032639"/>
      <w:bookmarkStart w:id="187" w:name="_Toc168476035"/>
      <w:bookmarkStart w:id="188" w:name="_Toc221949941"/>
      <w:bookmarkStart w:id="189" w:name="_Toc222030972"/>
      <w:bookmarkStart w:id="190" w:name="_Toc229305330"/>
      <w:bookmarkStart w:id="191" w:name="_Toc222029470"/>
      <w:r>
        <w:rPr>
          <w:rFonts w:hint="eastAsia"/>
          <w:color w:val="auto"/>
          <w:highlight w:val="none"/>
        </w:rPr>
        <w:t>本次招标公告同时在</w:t>
      </w:r>
      <w:r>
        <w:rPr>
          <w:rFonts w:hint="eastAsia"/>
          <w:color w:val="auto"/>
          <w:highlight w:val="none"/>
          <w:u w:val="single"/>
          <w:lang w:val="en-US" w:eastAsia="zh-CN"/>
        </w:rPr>
        <w:t xml:space="preserve">       </w:t>
      </w:r>
      <w:r>
        <w:rPr>
          <w:rFonts w:hint="eastAsia"/>
          <w:color w:val="auto"/>
          <w:highlight w:val="none"/>
          <w:u w:val="single"/>
        </w:rPr>
        <w:t>交易平台（网址：</w:t>
      </w:r>
      <w:r>
        <w:rPr>
          <w:rFonts w:hint="eastAsia"/>
          <w:color w:val="auto"/>
          <w:highlight w:val="none"/>
          <w:u w:val="single"/>
          <w:lang w:val="en-US" w:eastAsia="zh-CN"/>
        </w:rPr>
        <w:t xml:space="preserve">    </w:t>
      </w:r>
      <w:r>
        <w:rPr>
          <w:rFonts w:hint="eastAsia"/>
          <w:color w:val="auto"/>
          <w:highlight w:val="none"/>
          <w:u w:val="single"/>
        </w:rPr>
        <w:t>）</w:t>
      </w:r>
      <w:r>
        <w:rPr>
          <w:rFonts w:hint="eastAsia"/>
          <w:color w:val="auto"/>
          <w:highlight w:val="none"/>
          <w:u w:val="none"/>
        </w:rPr>
        <w:t>、广</w:t>
      </w:r>
      <w:r>
        <w:rPr>
          <w:rFonts w:hint="eastAsia"/>
          <w:color w:val="auto"/>
          <w:highlight w:val="none"/>
        </w:rPr>
        <w:t>东省招标投标监管网（网址：</w:t>
      </w:r>
      <w:r>
        <w:rPr>
          <w:rFonts w:hint="eastAsia"/>
        </w:rPr>
        <w:t>http://zbtb.gd.gov.cn/</w:t>
      </w:r>
      <w:r>
        <w:rPr>
          <w:rFonts w:hint="eastAsia"/>
          <w:color w:val="auto"/>
          <w:highlight w:val="none"/>
        </w:rPr>
        <w:t>）和中国招标投标公共服务平台（网址：http://www.cebpubservice.com/） (发布公告的媒介名称)上发布。本公告的修改、补充，在</w:t>
      </w:r>
      <w:r>
        <w:rPr>
          <w:rFonts w:hint="eastAsia"/>
          <w:color w:val="auto"/>
          <w:highlight w:val="none"/>
          <w:u w:val="single"/>
          <w:lang w:val="en-US" w:eastAsia="zh-CN"/>
        </w:rPr>
        <w:t xml:space="preserve">   </w:t>
      </w:r>
      <w:r>
        <w:rPr>
          <w:rFonts w:hint="eastAsia"/>
          <w:color w:val="auto"/>
          <w:highlight w:val="none"/>
          <w:u w:val="single"/>
        </w:rPr>
        <w:t>交易平台</w:t>
      </w:r>
      <w:r>
        <w:rPr>
          <w:rFonts w:hint="eastAsia"/>
          <w:color w:val="auto"/>
          <w:highlight w:val="none"/>
        </w:rPr>
        <w:t>发布。本公告在各媒体发布的文本如有不同之处，以在</w:t>
      </w:r>
      <w:r>
        <w:rPr>
          <w:rFonts w:hint="eastAsia"/>
          <w:color w:val="auto"/>
          <w:highlight w:val="none"/>
          <w:u w:val="single"/>
          <w:lang w:val="en-US" w:eastAsia="zh-CN"/>
        </w:rPr>
        <w:t xml:space="preserve">     </w:t>
      </w:r>
      <w:r>
        <w:rPr>
          <w:rFonts w:hint="eastAsia"/>
          <w:color w:val="auto"/>
          <w:highlight w:val="none"/>
          <w:u w:val="single"/>
        </w:rPr>
        <w:t>交易平台</w:t>
      </w:r>
      <w:r>
        <w:rPr>
          <w:rFonts w:hint="eastAsia"/>
          <w:color w:val="auto"/>
          <w:highlight w:val="none"/>
        </w:rPr>
        <w:t>发布的文本为准。</w:t>
      </w:r>
    </w:p>
    <w:p>
      <w:pPr>
        <w:pStyle w:val="20"/>
        <w:numPr>
          <w:ilvl w:val="0"/>
          <w:numId w:val="1"/>
        </w:numPr>
        <w:spacing w:before="120" w:afterLines="50"/>
        <w:outlineLvl w:val="2"/>
        <w:rPr>
          <w:rFonts w:hint="eastAsia"/>
          <w:color w:val="auto"/>
          <w:highlight w:val="none"/>
          <w:lang w:val="en-US" w:eastAsia="zh-CN"/>
        </w:rPr>
      </w:pPr>
      <w:bookmarkStart w:id="192" w:name="_Toc9917"/>
      <w:bookmarkStart w:id="193" w:name="_Toc13503"/>
      <w:bookmarkStart w:id="194" w:name="_Toc28940"/>
      <w:bookmarkStart w:id="195" w:name="_Toc15125"/>
      <w:bookmarkStart w:id="196" w:name="_Toc822"/>
      <w:bookmarkStart w:id="197" w:name="_Toc21076"/>
      <w:bookmarkStart w:id="198" w:name="_Toc1370083816"/>
      <w:bookmarkStart w:id="199" w:name="_Toc1407589433"/>
      <w:r>
        <w:rPr>
          <w:rFonts w:hint="eastAsia"/>
          <w:color w:val="auto"/>
          <w:highlight w:val="none"/>
          <w:lang w:val="en-US" w:eastAsia="zh-CN"/>
        </w:rPr>
        <w:t>异议方式</w:t>
      </w:r>
      <w:bookmarkEnd w:id="192"/>
    </w:p>
    <w:p>
      <w:pPr>
        <w:pStyle w:val="20"/>
        <w:numPr>
          <w:ilvl w:val="0"/>
          <w:numId w:val="0"/>
        </w:numPr>
        <w:spacing w:before="120" w:afterLines="50"/>
        <w:ind w:firstLine="422" w:firstLineChars="200"/>
        <w:outlineLvl w:val="9"/>
        <w:rPr>
          <w:rFonts w:hint="eastAsia"/>
          <w:color w:val="auto"/>
          <w:sz w:val="21"/>
          <w:szCs w:val="15"/>
          <w:highlight w:val="none"/>
        </w:rPr>
      </w:pPr>
      <w:bookmarkStart w:id="200" w:name="_Toc25658"/>
      <w:r>
        <w:rPr>
          <w:rFonts w:hint="eastAsia"/>
          <w:color w:val="auto"/>
          <w:sz w:val="21"/>
          <w:szCs w:val="15"/>
          <w:highlight w:val="none"/>
        </w:rPr>
        <w:t>潜在投标人或利害关系人对本招标公告及招标文件有异议的，向招标人书面提出。</w:t>
      </w:r>
      <w:bookmarkEnd w:id="200"/>
    </w:p>
    <w:p>
      <w:pPr>
        <w:pStyle w:val="20"/>
        <w:spacing w:before="120" w:afterLines="50"/>
        <w:ind w:firstLine="420" w:firstLineChars="200"/>
        <w:outlineLvl w:val="9"/>
        <w:rPr>
          <w:rFonts w:hint="default" w:eastAsia="宋体"/>
          <w:b w:val="0"/>
          <w:bCs w:val="0"/>
          <w:color w:val="auto"/>
          <w:sz w:val="21"/>
          <w:szCs w:val="15"/>
          <w:highlight w:val="none"/>
          <w:u w:val="single"/>
          <w:lang w:val="en-US" w:eastAsia="zh-CN"/>
        </w:rPr>
      </w:pPr>
      <w:bookmarkStart w:id="201" w:name="_Toc29841"/>
      <w:r>
        <w:rPr>
          <w:rFonts w:hint="eastAsia"/>
          <w:b w:val="0"/>
          <w:bCs w:val="0"/>
          <w:color w:val="auto"/>
          <w:sz w:val="21"/>
          <w:szCs w:val="15"/>
          <w:highlight w:val="none"/>
        </w:rPr>
        <w:t>异议受理部门：</w:t>
      </w:r>
      <w:bookmarkEnd w:id="201"/>
      <w:r>
        <w:rPr>
          <w:rFonts w:hint="eastAsia"/>
          <w:b w:val="0"/>
          <w:bCs w:val="0"/>
          <w:color w:val="auto"/>
          <w:sz w:val="21"/>
          <w:szCs w:val="15"/>
          <w:highlight w:val="none"/>
          <w:u w:val="single"/>
          <w:lang w:val="en-US" w:eastAsia="zh-CN"/>
        </w:rPr>
        <w:t xml:space="preserve">             </w:t>
      </w:r>
    </w:p>
    <w:p>
      <w:pPr>
        <w:pStyle w:val="20"/>
        <w:spacing w:before="120" w:afterLines="50"/>
        <w:ind w:firstLine="420" w:firstLineChars="200"/>
        <w:outlineLvl w:val="9"/>
        <w:rPr>
          <w:rFonts w:hint="default" w:eastAsia="宋体"/>
          <w:b w:val="0"/>
          <w:bCs w:val="0"/>
          <w:color w:val="auto"/>
          <w:sz w:val="21"/>
          <w:szCs w:val="15"/>
          <w:highlight w:val="none"/>
          <w:u w:val="single"/>
          <w:lang w:val="en-US" w:eastAsia="zh-CN"/>
        </w:rPr>
      </w:pPr>
      <w:bookmarkStart w:id="202" w:name="_Toc25873"/>
      <w:r>
        <w:rPr>
          <w:rFonts w:hint="eastAsia"/>
          <w:b w:val="0"/>
          <w:bCs w:val="0"/>
          <w:color w:val="auto"/>
          <w:sz w:val="21"/>
          <w:szCs w:val="15"/>
          <w:highlight w:val="none"/>
        </w:rPr>
        <w:t>异议受理电话：</w:t>
      </w:r>
      <w:bookmarkEnd w:id="202"/>
      <w:r>
        <w:rPr>
          <w:rFonts w:hint="eastAsia"/>
          <w:b w:val="0"/>
          <w:bCs w:val="0"/>
          <w:color w:val="auto"/>
          <w:sz w:val="21"/>
          <w:szCs w:val="15"/>
          <w:highlight w:val="none"/>
          <w:u w:val="single"/>
          <w:lang w:val="en-US" w:eastAsia="zh-CN"/>
        </w:rPr>
        <w:t xml:space="preserve">             </w:t>
      </w:r>
    </w:p>
    <w:p>
      <w:pPr>
        <w:pStyle w:val="20"/>
        <w:spacing w:before="120" w:afterLines="50"/>
        <w:ind w:firstLine="420" w:firstLineChars="200"/>
        <w:outlineLvl w:val="9"/>
        <w:rPr>
          <w:rFonts w:hint="default" w:eastAsia="宋体"/>
          <w:b w:val="0"/>
          <w:bCs w:val="0"/>
          <w:color w:val="auto"/>
          <w:sz w:val="21"/>
          <w:szCs w:val="15"/>
          <w:highlight w:val="none"/>
          <w:u w:val="single"/>
          <w:lang w:val="en-US" w:eastAsia="zh-CN"/>
        </w:rPr>
      </w:pPr>
      <w:bookmarkStart w:id="203" w:name="_Toc31538"/>
      <w:r>
        <w:rPr>
          <w:rFonts w:hint="eastAsia"/>
          <w:b w:val="0"/>
          <w:bCs w:val="0"/>
          <w:color w:val="auto"/>
          <w:sz w:val="21"/>
          <w:szCs w:val="15"/>
          <w:highlight w:val="none"/>
        </w:rPr>
        <w:t>地址：</w:t>
      </w:r>
      <w:bookmarkEnd w:id="203"/>
      <w:r>
        <w:rPr>
          <w:rFonts w:hint="eastAsia"/>
          <w:b w:val="0"/>
          <w:bCs w:val="0"/>
          <w:color w:val="auto"/>
          <w:sz w:val="21"/>
          <w:szCs w:val="15"/>
          <w:highlight w:val="none"/>
          <w:u w:val="single"/>
          <w:lang w:val="en-US" w:eastAsia="zh-CN"/>
        </w:rPr>
        <w:t xml:space="preserve">             </w:t>
      </w:r>
    </w:p>
    <w:p>
      <w:pPr>
        <w:pStyle w:val="20"/>
        <w:spacing w:before="120" w:afterLines="50"/>
        <w:ind w:firstLine="420" w:firstLineChars="200"/>
        <w:outlineLvl w:val="9"/>
        <w:rPr>
          <w:b w:val="0"/>
          <w:bCs w:val="0"/>
          <w:color w:val="auto"/>
          <w:sz w:val="21"/>
          <w:szCs w:val="15"/>
          <w:highlight w:val="none"/>
        </w:rPr>
      </w:pPr>
      <w:bookmarkStart w:id="204" w:name="_Toc23904"/>
      <w:r>
        <w:rPr>
          <w:rFonts w:hint="eastAsia"/>
          <w:b w:val="0"/>
          <w:bCs w:val="0"/>
          <w:color w:val="auto"/>
          <w:sz w:val="21"/>
          <w:szCs w:val="15"/>
          <w:highlight w:val="none"/>
        </w:rPr>
        <w:t>注：潜在投标人或利害关系人可以通过线下或线上的形式提出异议。线上提出异议的，应通过电子交易平台提交，招标人也应通过电子交易平台答复线上提出的异议。具体按照电子交易平台相关指南进行操作。作出答复前，应当暂停招标投标活动。</w:t>
      </w:r>
      <w:bookmarkEnd w:id="204"/>
    </w:p>
    <w:p>
      <w:pPr>
        <w:pStyle w:val="20"/>
        <w:spacing w:before="120" w:afterLines="50"/>
        <w:outlineLvl w:val="2"/>
        <w:rPr>
          <w:rFonts w:hint="eastAsia"/>
          <w:color w:val="auto"/>
          <w:highlight w:val="none"/>
        </w:rPr>
      </w:pPr>
      <w:bookmarkStart w:id="205" w:name="_Toc30424"/>
      <w:r>
        <w:rPr>
          <w:rFonts w:hint="eastAsia"/>
          <w:color w:val="auto"/>
          <w:highlight w:val="none"/>
        </w:rPr>
        <w:t>10.联系方式</w:t>
      </w:r>
      <w:bookmarkEnd w:id="182"/>
      <w:bookmarkEnd w:id="183"/>
      <w:bookmarkEnd w:id="184"/>
      <w:bookmarkEnd w:id="185"/>
      <w:bookmarkEnd w:id="186"/>
      <w:bookmarkEnd w:id="187"/>
      <w:bookmarkEnd w:id="188"/>
      <w:bookmarkEnd w:id="189"/>
      <w:bookmarkEnd w:id="190"/>
      <w:bookmarkEnd w:id="191"/>
      <w:bookmarkEnd w:id="193"/>
      <w:bookmarkEnd w:id="194"/>
      <w:bookmarkEnd w:id="195"/>
      <w:bookmarkEnd w:id="196"/>
      <w:bookmarkEnd w:id="197"/>
      <w:bookmarkEnd w:id="198"/>
      <w:bookmarkEnd w:id="199"/>
      <w:bookmarkEnd w:id="205"/>
    </w:p>
    <w:p>
      <w:pPr>
        <w:topLinePunct/>
        <w:spacing w:line="400" w:lineRule="exact"/>
        <w:ind w:firstLine="420" w:firstLineChars="200"/>
        <w:rPr>
          <w:rFonts w:ascii="宋体" w:hAnsi="宋体" w:cs="宋体"/>
          <w:color w:val="auto"/>
          <w:szCs w:val="21"/>
          <w:highlight w:val="none"/>
        </w:rPr>
      </w:pPr>
      <w:bookmarkStart w:id="206" w:name="_Toc221949942"/>
      <w:r>
        <w:rPr>
          <w:rFonts w:hint="eastAsia" w:ascii="宋体" w:hAnsi="宋体" w:cs="宋体"/>
          <w:color w:val="auto"/>
          <w:szCs w:val="21"/>
          <w:highlight w:val="none"/>
        </w:rPr>
        <w:t xml:space="preserve">招 标 人：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招标代理机构：</w:t>
      </w:r>
      <w:bookmarkEnd w:id="206"/>
    </w:p>
    <w:p>
      <w:pPr>
        <w:topLinePunct/>
        <w:spacing w:line="400" w:lineRule="exact"/>
        <w:ind w:firstLine="420" w:firstLineChars="200"/>
        <w:rPr>
          <w:rFonts w:ascii="宋体" w:hAnsi="宋体" w:cs="宋体"/>
          <w:color w:val="auto"/>
          <w:szCs w:val="21"/>
          <w:highlight w:val="none"/>
        </w:rPr>
      </w:pPr>
      <w:bookmarkStart w:id="207" w:name="_Toc221949943"/>
      <w:r>
        <w:rPr>
          <w:rFonts w:hint="eastAsia" w:ascii="宋体" w:hAnsi="宋体" w:cs="宋体"/>
          <w:color w:val="auto"/>
          <w:szCs w:val="21"/>
          <w:highlight w:val="none"/>
        </w:rPr>
        <w:t>地    址：</w:t>
      </w:r>
      <w:r>
        <w:rPr>
          <w:rFonts w:hint="eastAsia" w:ascii="宋体" w:hAnsi="宋体" w:cs="宋体"/>
          <w:color w:val="auto"/>
          <w:szCs w:val="21"/>
          <w:highlight w:val="none"/>
        </w:rPr>
        <w:tab/>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w:t>
      </w:r>
      <w:bookmarkEnd w:id="207"/>
    </w:p>
    <w:p>
      <w:pPr>
        <w:topLinePunct/>
        <w:spacing w:line="400" w:lineRule="exact"/>
        <w:ind w:firstLine="420" w:firstLineChars="200"/>
        <w:rPr>
          <w:rFonts w:ascii="宋体" w:hAnsi="宋体" w:cs="宋体"/>
          <w:color w:val="auto"/>
          <w:szCs w:val="21"/>
          <w:highlight w:val="none"/>
        </w:rPr>
      </w:pPr>
      <w:bookmarkStart w:id="208" w:name="_Toc221949944"/>
      <w:r>
        <w:rPr>
          <w:rFonts w:hint="eastAsia" w:ascii="宋体" w:hAnsi="宋体" w:cs="宋体"/>
          <w:color w:val="auto"/>
          <w:szCs w:val="21"/>
          <w:highlight w:val="none"/>
        </w:rPr>
        <w:t xml:space="preserve">邮    编：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邮    编：</w:t>
      </w:r>
      <w:bookmarkEnd w:id="208"/>
    </w:p>
    <w:p>
      <w:pPr>
        <w:topLinePunct/>
        <w:spacing w:line="400" w:lineRule="exact"/>
        <w:ind w:firstLine="420" w:firstLineChars="200"/>
        <w:rPr>
          <w:rFonts w:ascii="宋体" w:hAnsi="宋体" w:cs="宋体"/>
          <w:color w:val="auto"/>
          <w:szCs w:val="21"/>
          <w:highlight w:val="none"/>
        </w:rPr>
      </w:pPr>
      <w:bookmarkStart w:id="209" w:name="_Toc221949945"/>
      <w:r>
        <w:rPr>
          <w:rFonts w:hint="eastAsia" w:ascii="宋体" w:hAnsi="宋体" w:cs="宋体"/>
          <w:color w:val="auto"/>
          <w:szCs w:val="21"/>
          <w:highlight w:val="none"/>
        </w:rPr>
        <w:t xml:space="preserve">联 系 人：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联 系 人：</w:t>
      </w:r>
      <w:bookmarkEnd w:id="209"/>
    </w:p>
    <w:p>
      <w:pPr>
        <w:topLinePunct/>
        <w:spacing w:line="400" w:lineRule="exact"/>
        <w:ind w:firstLine="420" w:firstLineChars="200"/>
        <w:rPr>
          <w:rFonts w:ascii="宋体" w:hAnsi="宋体" w:cs="宋体"/>
          <w:color w:val="auto"/>
          <w:szCs w:val="21"/>
          <w:highlight w:val="none"/>
        </w:rPr>
      </w:pPr>
      <w:bookmarkStart w:id="210" w:name="_Toc221949946"/>
      <w:r>
        <w:rPr>
          <w:rFonts w:hint="eastAsia" w:ascii="宋体" w:hAnsi="宋体" w:cs="宋体"/>
          <w:color w:val="auto"/>
          <w:szCs w:val="21"/>
          <w:highlight w:val="none"/>
        </w:rPr>
        <w:t xml:space="preserve">电    话：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电    话：</w:t>
      </w:r>
      <w:bookmarkEnd w:id="210"/>
    </w:p>
    <w:p>
      <w:pPr>
        <w:topLinePunct/>
        <w:spacing w:line="400" w:lineRule="exact"/>
        <w:ind w:firstLine="420" w:firstLineChars="200"/>
        <w:rPr>
          <w:rFonts w:ascii="宋体" w:hAnsi="宋体" w:cs="宋体"/>
          <w:color w:val="auto"/>
          <w:szCs w:val="21"/>
          <w:highlight w:val="none"/>
        </w:rPr>
      </w:pPr>
      <w:bookmarkStart w:id="211" w:name="_Toc221949947"/>
      <w:r>
        <w:rPr>
          <w:rFonts w:hint="eastAsia" w:ascii="宋体" w:hAnsi="宋体" w:cs="宋体"/>
          <w:color w:val="auto"/>
          <w:szCs w:val="21"/>
          <w:highlight w:val="none"/>
        </w:rPr>
        <w:t xml:space="preserve">传    真：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传    真：</w:t>
      </w:r>
      <w:bookmarkEnd w:id="211"/>
    </w:p>
    <w:p>
      <w:pPr>
        <w:topLinePunct/>
        <w:spacing w:line="400" w:lineRule="exact"/>
        <w:ind w:firstLine="420" w:firstLineChars="200"/>
        <w:rPr>
          <w:rFonts w:ascii="宋体" w:hAnsi="宋体" w:cs="宋体"/>
          <w:color w:val="auto"/>
          <w:szCs w:val="21"/>
          <w:highlight w:val="none"/>
        </w:rPr>
      </w:pPr>
      <w:bookmarkStart w:id="212" w:name="_Toc221949948"/>
      <w:r>
        <w:rPr>
          <w:rFonts w:hint="eastAsia" w:ascii="宋体" w:hAnsi="宋体" w:cs="宋体"/>
          <w:color w:val="auto"/>
          <w:szCs w:val="21"/>
          <w:highlight w:val="none"/>
        </w:rPr>
        <w:t xml:space="preserve">电子邮件：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电子邮件：</w:t>
      </w:r>
      <w:bookmarkEnd w:id="212"/>
    </w:p>
    <w:p>
      <w:pPr>
        <w:topLinePunct/>
        <w:spacing w:line="400" w:lineRule="exact"/>
        <w:ind w:firstLine="420" w:firstLineChars="200"/>
        <w:rPr>
          <w:rFonts w:ascii="宋体" w:hAnsi="宋体" w:cs="宋体"/>
          <w:color w:val="auto"/>
          <w:szCs w:val="21"/>
          <w:highlight w:val="none"/>
        </w:rPr>
      </w:pPr>
      <w:bookmarkStart w:id="213" w:name="_Toc221949949"/>
      <w:r>
        <w:rPr>
          <w:rFonts w:hint="eastAsia" w:ascii="宋体" w:hAnsi="宋体" w:cs="宋体"/>
          <w:color w:val="auto"/>
          <w:szCs w:val="21"/>
          <w:highlight w:val="none"/>
        </w:rPr>
        <w:t xml:space="preserve">网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网    址：</w:t>
      </w:r>
      <w:bookmarkEnd w:id="213"/>
    </w:p>
    <w:p>
      <w:pPr>
        <w:spacing w:line="400" w:lineRule="exact"/>
        <w:rPr>
          <w:rFonts w:ascii="宋体" w:hAnsi="宋体" w:cs="宋体"/>
          <w:color w:val="auto"/>
          <w:szCs w:val="21"/>
          <w:highlight w:val="none"/>
        </w:rPr>
      </w:pPr>
    </w:p>
    <w:p>
      <w:pPr>
        <w:pStyle w:val="29"/>
        <w:rPr>
          <w:color w:val="auto"/>
          <w:highlight w:val="none"/>
        </w:rPr>
      </w:pPr>
    </w:p>
    <w:p>
      <w:pPr>
        <w:spacing w:before="1" w:line="204" w:lineRule="auto"/>
        <w:ind w:firstLine="378" w:firstLineChars="200"/>
        <w:rPr>
          <w:rFonts w:ascii="宋体" w:hAnsi="宋体" w:cs="宋体"/>
          <w:color w:val="auto"/>
          <w:spacing w:val="-23"/>
          <w:w w:val="98"/>
          <w:sz w:val="24"/>
          <w:highlight w:val="none"/>
        </w:rPr>
      </w:pPr>
    </w:p>
    <w:p>
      <w:pPr>
        <w:topLinePunct/>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招标监督机构：</w:t>
      </w:r>
    </w:p>
    <w:p>
      <w:pPr>
        <w:topLinePunct/>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监督电话：</w:t>
      </w:r>
    </w:p>
    <w:p>
      <w:pPr>
        <w:topLinePunct/>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联系地址：</w:t>
      </w:r>
    </w:p>
    <w:p>
      <w:pPr>
        <w:spacing w:before="1" w:line="204" w:lineRule="auto"/>
        <w:ind w:firstLine="378" w:firstLineChars="200"/>
        <w:rPr>
          <w:rFonts w:ascii="宋体" w:hAnsi="宋体" w:cs="宋体"/>
          <w:color w:val="auto"/>
          <w:spacing w:val="-23"/>
          <w:w w:val="98"/>
          <w:sz w:val="24"/>
          <w:highlight w:val="none"/>
        </w:rPr>
      </w:pPr>
    </w:p>
    <w:p>
      <w:pPr>
        <w:pStyle w:val="29"/>
        <w:rPr>
          <w:color w:val="auto"/>
          <w:highlight w:val="none"/>
        </w:rPr>
      </w:pPr>
    </w:p>
    <w:p>
      <w:pPr>
        <w:pStyle w:val="29"/>
        <w:rPr>
          <w:color w:val="auto"/>
          <w:highlight w:val="none"/>
        </w:rPr>
      </w:pPr>
    </w:p>
    <w:p>
      <w:pPr>
        <w:spacing w:line="400" w:lineRule="exact"/>
        <w:rPr>
          <w:rFonts w:ascii="宋体" w:hAnsi="宋体" w:cs="宋体"/>
          <w:color w:val="auto"/>
          <w:szCs w:val="21"/>
          <w:highlight w:val="none"/>
        </w:rPr>
      </w:pPr>
      <w:r>
        <w:rPr>
          <w:rFonts w:hint="eastAsia" w:ascii="宋体" w:hAnsi="宋体" w:cs="宋体"/>
          <w:color w:val="auto"/>
          <w:szCs w:val="21"/>
          <w:highlight w:val="none"/>
        </w:rPr>
        <w:t>　　　　　　　　　　　　　　　　　　　　　　　　　</w:t>
      </w:r>
      <w:bookmarkStart w:id="214" w:name="_Toc221949952"/>
      <w:r>
        <w:rPr>
          <w:rFonts w:hint="eastAsia" w:ascii="宋体" w:hAnsi="宋体" w:cs="宋体"/>
          <w:color w:val="auto"/>
          <w:szCs w:val="21"/>
          <w:highlight w:val="none"/>
        </w:rPr>
        <w:t xml:space="preserve">年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w:t>
      </w:r>
      <w:bookmarkEnd w:id="214"/>
    </w:p>
    <w:p>
      <w:pPr>
        <w:spacing w:line="400" w:lineRule="exact"/>
        <w:rPr>
          <w:rFonts w:ascii="宋体" w:hAnsi="宋体" w:cs="宋体"/>
          <w:color w:val="auto"/>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945" w:hanging="900" w:hangingChars="450"/>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备注：1. 投标人拟派的项目负责人（建造师）（下同）不得同时担任两个及以上建设工程项目的项目负责人（项目负责人）。存在下列情形之一的，视为未担任其他在建工程项目的项目负责人：（1）同一工程相邻分段发包或分期施工的;（2）合同约定的工程验收合格的；（3）因非承包方原因致使工程项目停工超过120天（含），经建设单位同意的。</w:t>
      </w:r>
    </w:p>
    <w:p>
      <w:pPr>
        <w:keepNext w:val="0"/>
        <w:keepLines w:val="0"/>
        <w:pageBreakBefore w:val="0"/>
        <w:widowControl w:val="0"/>
        <w:kinsoku/>
        <w:wordWrap/>
        <w:overflowPunct/>
        <w:topLinePunct w:val="0"/>
        <w:autoSpaceDE/>
        <w:autoSpaceDN/>
        <w:bidi w:val="0"/>
        <w:adjustRightInd/>
        <w:snapToGrid/>
        <w:spacing w:line="240" w:lineRule="auto"/>
        <w:ind w:left="930" w:leftChars="300" w:hanging="300" w:hangingChars="150"/>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 “在所投标段免费下载招标文件”是指投标人拟参加某标段投标的，应按规定下载该标段的招标文件。投标人的下载活动“电子交易平台”将予以记录，并可在“下载情况查询”中查看，该记录作为投标人是否下载该标段招标文件的依据。</w:t>
      </w:r>
    </w:p>
    <w:p>
      <w:pPr>
        <w:pStyle w:val="29"/>
        <w:rPr>
          <w:rFonts w:hAnsi="宋体" w:cs="宋体"/>
          <w:color w:val="auto"/>
          <w:szCs w:val="21"/>
          <w:highlight w:val="none"/>
        </w:rPr>
      </w:pPr>
    </w:p>
    <w:p>
      <w:pPr>
        <w:pStyle w:val="3"/>
        <w:jc w:val="center"/>
        <w:outlineLvl w:val="1"/>
        <w:rPr>
          <w:rFonts w:ascii="黑体" w:hAnsi="黑体" w:eastAsia="黑体"/>
          <w:b w:val="0"/>
          <w:bCs w:val="0"/>
          <w:color w:val="auto"/>
          <w:sz w:val="32"/>
          <w:highlight w:val="none"/>
        </w:rPr>
      </w:pPr>
      <w:bookmarkStart w:id="215" w:name="_Toc8541"/>
      <w:bookmarkStart w:id="216" w:name="_Toc222029471"/>
      <w:bookmarkStart w:id="217" w:name="_Toc222032640"/>
      <w:bookmarkStart w:id="218" w:name="_Toc222030973"/>
      <w:bookmarkStart w:id="219" w:name="_Toc9780"/>
      <w:bookmarkStart w:id="220" w:name="_Toc168476036"/>
      <w:bookmarkStart w:id="221" w:name="_Toc387753540"/>
      <w:bookmarkStart w:id="222" w:name="_Toc229305331"/>
      <w:bookmarkStart w:id="223" w:name="_Toc144974486"/>
      <w:bookmarkStart w:id="224" w:name="_Toc26952"/>
      <w:bookmarkStart w:id="225" w:name="_Toc787234217"/>
      <w:bookmarkStart w:id="226" w:name="_Toc1123998358"/>
      <w:bookmarkStart w:id="227" w:name="_Toc221949954"/>
      <w:bookmarkStart w:id="228" w:name="_Toc168475633"/>
      <w:bookmarkStart w:id="229" w:name="_Toc222033822"/>
      <w:bookmarkStart w:id="230" w:name="_Toc6499"/>
      <w:bookmarkStart w:id="231" w:name="_Toc27642"/>
      <w:bookmarkStart w:id="232" w:name="_Toc26220"/>
      <w:r>
        <w:rPr>
          <w:rFonts w:hint="eastAsia" w:ascii="黑体" w:hAnsi="黑体"/>
          <w:b w:val="0"/>
          <w:bCs w:val="0"/>
          <w:color w:val="auto"/>
          <w:sz w:val="32"/>
          <w:highlight w:val="none"/>
          <w:lang w:eastAsia="zh-CN"/>
        </w:rPr>
        <w:t>第一章</w:t>
      </w:r>
      <w:r>
        <w:rPr>
          <w:rFonts w:hint="eastAsia" w:ascii="黑体" w:hAnsi="黑体" w:eastAsia="黑体"/>
          <w:b w:val="0"/>
          <w:bCs w:val="0"/>
          <w:color w:val="auto"/>
          <w:sz w:val="32"/>
          <w:highlight w:val="none"/>
        </w:rPr>
        <w:t xml:space="preserve"> 投标邀请书（适用于邀请招标）</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pPr>
        <w:spacing w:line="440" w:lineRule="exact"/>
        <w:jc w:val="center"/>
        <w:rPr>
          <w:rFonts w:ascii="宋体" w:hAnsi="宋体" w:cs="宋体"/>
          <w:color w:val="auto"/>
          <w:sz w:val="28"/>
          <w:szCs w:val="28"/>
          <w:highlight w:val="none"/>
        </w:rPr>
      </w:pPr>
      <w:bookmarkStart w:id="233" w:name="_Toc221949955"/>
      <w:r>
        <w:rPr>
          <w:rFonts w:hint="eastAsia" w:ascii="宋体" w:hAnsi="宋体" w:cs="宋体"/>
          <w:color w:val="auto"/>
          <w:sz w:val="28"/>
          <w:szCs w:val="28"/>
          <w:highlight w:val="none"/>
        </w:rPr>
        <w:t>（项目名称）</w:t>
      </w:r>
      <w:r>
        <w:rPr>
          <w:rFonts w:hint="eastAsia" w:ascii="宋体" w:hAnsi="宋体" w:cs="宋体"/>
          <w:b/>
          <w:color w:val="auto"/>
          <w:sz w:val="28"/>
          <w:szCs w:val="28"/>
          <w:highlight w:val="none"/>
        </w:rPr>
        <w:t>施工投标邀请书</w:t>
      </w:r>
      <w:bookmarkEnd w:id="233"/>
    </w:p>
    <w:p>
      <w:pPr>
        <w:spacing w:line="400" w:lineRule="exact"/>
        <w:rPr>
          <w:rFonts w:ascii="宋体" w:hAnsi="宋体" w:cs="宋体"/>
          <w:color w:val="auto"/>
          <w:szCs w:val="21"/>
          <w:highlight w:val="none"/>
        </w:rPr>
      </w:pPr>
      <w:bookmarkStart w:id="234" w:name="_Toc221949956"/>
      <w:r>
        <w:rPr>
          <w:rFonts w:hint="eastAsia" w:ascii="宋体" w:hAnsi="宋体" w:cs="宋体"/>
          <w:color w:val="auto"/>
          <w:szCs w:val="21"/>
          <w:highlight w:val="none"/>
          <w:u w:val="single"/>
        </w:rPr>
        <w:t>（被邀请单位名称）</w:t>
      </w:r>
      <w:r>
        <w:rPr>
          <w:rFonts w:hint="eastAsia" w:ascii="宋体" w:hAnsi="宋体" w:cs="宋体"/>
          <w:color w:val="auto"/>
          <w:szCs w:val="21"/>
          <w:highlight w:val="none"/>
        </w:rPr>
        <w:t>：</w:t>
      </w:r>
      <w:bookmarkEnd w:id="234"/>
    </w:p>
    <w:p>
      <w:pPr>
        <w:pStyle w:val="20"/>
        <w:spacing w:before="120" w:afterLines="50"/>
        <w:outlineLvl w:val="2"/>
        <w:rPr>
          <w:rFonts w:hint="eastAsia"/>
          <w:color w:val="auto"/>
          <w:highlight w:val="none"/>
        </w:rPr>
      </w:pPr>
      <w:bookmarkStart w:id="235" w:name="_Toc22582"/>
      <w:bookmarkStart w:id="236" w:name="_Toc20514"/>
      <w:bookmarkStart w:id="237" w:name="_Toc387753541"/>
      <w:bookmarkStart w:id="238" w:name="_Toc968376072"/>
      <w:bookmarkStart w:id="239" w:name="_Toc221949957"/>
      <w:bookmarkStart w:id="240" w:name="_Toc222030974"/>
      <w:bookmarkStart w:id="241" w:name="_Toc229305332"/>
      <w:bookmarkStart w:id="242" w:name="_Toc18859"/>
      <w:bookmarkStart w:id="243" w:name="_Toc222029472"/>
      <w:bookmarkStart w:id="244" w:name="_Toc168475634"/>
      <w:bookmarkStart w:id="245" w:name="_Toc144974487"/>
      <w:bookmarkStart w:id="246" w:name="_Toc3727"/>
      <w:bookmarkStart w:id="247" w:name="_Toc222033823"/>
      <w:bookmarkStart w:id="248" w:name="_Toc15071"/>
      <w:bookmarkStart w:id="249" w:name="_Toc168476037"/>
      <w:bookmarkStart w:id="250" w:name="_Toc8763"/>
      <w:bookmarkStart w:id="251" w:name="_Toc815378591"/>
      <w:bookmarkStart w:id="252" w:name="_Toc222032641"/>
      <w:r>
        <w:rPr>
          <w:rFonts w:hint="eastAsia"/>
          <w:color w:val="auto"/>
          <w:highlight w:val="none"/>
        </w:rPr>
        <w:t>1. 招标条件</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pPr>
        <w:spacing w:line="400" w:lineRule="exact"/>
        <w:ind w:firstLine="420" w:firstLineChars="200"/>
        <w:rPr>
          <w:rFonts w:ascii="宋体" w:hAnsi="宋体" w:cs="宋体"/>
          <w:color w:val="auto"/>
          <w:szCs w:val="21"/>
          <w:highlight w:val="none"/>
        </w:rPr>
      </w:pPr>
      <w:bookmarkStart w:id="253" w:name="_Toc221949958"/>
      <w:r>
        <w:rPr>
          <w:rFonts w:hint="eastAsia" w:ascii="宋体" w:hAnsi="宋体" w:cs="宋体"/>
          <w:color w:val="auto"/>
          <w:szCs w:val="21"/>
          <w:highlight w:val="none"/>
        </w:rPr>
        <w:t>本招标项目</w:t>
      </w:r>
      <w:r>
        <w:rPr>
          <w:rFonts w:hint="eastAsia" w:ascii="宋体" w:hAnsi="宋体" w:cs="宋体"/>
          <w:color w:val="auto"/>
          <w:szCs w:val="21"/>
          <w:highlight w:val="none"/>
          <w:u w:val="single"/>
        </w:rPr>
        <w:t>（项目名称）</w:t>
      </w:r>
      <w:r>
        <w:rPr>
          <w:rFonts w:hint="eastAsia" w:ascii="宋体" w:hAnsi="宋体" w:cs="宋体"/>
          <w:color w:val="auto"/>
          <w:szCs w:val="21"/>
          <w:highlight w:val="none"/>
        </w:rPr>
        <w:t>已由</w:t>
      </w:r>
      <w:r>
        <w:rPr>
          <w:rFonts w:hint="eastAsia" w:ascii="宋体" w:hAnsi="宋体" w:cs="宋体"/>
          <w:color w:val="auto"/>
          <w:szCs w:val="21"/>
          <w:highlight w:val="none"/>
          <w:u w:val="single"/>
        </w:rPr>
        <w:t>（项目审批机关名称）</w:t>
      </w:r>
      <w:r>
        <w:rPr>
          <w:rFonts w:hint="eastAsia" w:ascii="宋体" w:hAnsi="宋体" w:cs="宋体"/>
          <w:color w:val="auto"/>
          <w:szCs w:val="21"/>
          <w:highlight w:val="none"/>
        </w:rPr>
        <w:t>以</w:t>
      </w:r>
      <w:r>
        <w:rPr>
          <w:rFonts w:hint="eastAsia" w:ascii="宋体" w:hAnsi="宋体" w:cs="宋体"/>
          <w:color w:val="auto"/>
          <w:szCs w:val="21"/>
          <w:highlight w:val="none"/>
          <w:u w:val="single"/>
        </w:rPr>
        <w:t>（批文名称及编号）</w:t>
      </w:r>
      <w:r>
        <w:rPr>
          <w:rFonts w:hint="eastAsia" w:ascii="宋体" w:hAnsi="宋体" w:cs="宋体"/>
          <w:color w:val="auto"/>
          <w:szCs w:val="21"/>
          <w:highlight w:val="none"/>
        </w:rPr>
        <w:t>批准建设，建设资金来自</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（资金来源），出资比例为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，招标人为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，招标代理机构为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。项目已具备招标条件，现邀请你单位参加本项目施工投标。</w:t>
      </w:r>
      <w:bookmarkEnd w:id="253"/>
    </w:p>
    <w:p>
      <w:pPr>
        <w:pStyle w:val="20"/>
        <w:spacing w:before="120" w:afterLines="50"/>
        <w:outlineLvl w:val="2"/>
        <w:rPr>
          <w:rFonts w:hint="eastAsia"/>
          <w:color w:val="auto"/>
          <w:highlight w:val="none"/>
        </w:rPr>
      </w:pPr>
      <w:bookmarkStart w:id="254" w:name="_Toc7662"/>
      <w:bookmarkStart w:id="255" w:name="_Toc387753544"/>
      <w:bookmarkStart w:id="256" w:name="_Toc221949980"/>
      <w:r>
        <w:rPr>
          <w:rFonts w:hint="eastAsia"/>
          <w:color w:val="auto"/>
          <w:highlight w:val="none"/>
        </w:rPr>
        <w:t>2. 项目概况与招标范围</w:t>
      </w:r>
      <w:bookmarkEnd w:id="254"/>
    </w:p>
    <w:p>
      <w:pPr>
        <w:spacing w:line="480" w:lineRule="exact"/>
        <w:ind w:firstLine="420" w:firstLineChars="200"/>
        <w:outlineLvl w:val="9"/>
        <w:rPr>
          <w:color w:val="auto"/>
          <w:szCs w:val="21"/>
          <w:highlight w:val="none"/>
        </w:rPr>
      </w:pPr>
      <w:r>
        <w:rPr>
          <w:color w:val="auto"/>
          <w:szCs w:val="21"/>
          <w:highlight w:val="none"/>
        </w:rPr>
        <w:t xml:space="preserve">2.1 </w:t>
      </w:r>
      <w:r>
        <w:rPr>
          <w:rFonts w:hint="eastAsia"/>
          <w:color w:val="auto"/>
          <w:szCs w:val="21"/>
          <w:highlight w:val="none"/>
        </w:rPr>
        <w:t>项目概况</w:t>
      </w:r>
    </w:p>
    <w:p>
      <w:pPr>
        <w:spacing w:line="480" w:lineRule="exact"/>
        <w:ind w:firstLine="840" w:firstLineChars="400"/>
        <w:rPr>
          <w:color w:val="auto"/>
          <w:szCs w:val="21"/>
          <w:highlight w:val="none"/>
          <w:u w:val="single"/>
        </w:rPr>
      </w:pPr>
      <w:r>
        <w:rPr>
          <w:rFonts w:hint="eastAsia"/>
          <w:color w:val="auto"/>
          <w:szCs w:val="21"/>
          <w:highlight w:val="none"/>
        </w:rPr>
        <w:t>建设地点：</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u w:val="single"/>
        </w:rPr>
      </w:pPr>
      <w:r>
        <w:rPr>
          <w:rFonts w:hint="eastAsia"/>
          <w:color w:val="auto"/>
          <w:szCs w:val="21"/>
          <w:highlight w:val="none"/>
        </w:rPr>
        <w:t>建设规模：</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rPr>
      </w:pPr>
      <w:r>
        <w:rPr>
          <w:rFonts w:hint="eastAsia"/>
          <w:color w:val="auto"/>
          <w:szCs w:val="21"/>
          <w:highlight w:val="none"/>
        </w:rPr>
        <w:t>其他：</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420" w:firstLineChars="200"/>
        <w:outlineLvl w:val="9"/>
        <w:rPr>
          <w:color w:val="auto"/>
          <w:szCs w:val="21"/>
          <w:highlight w:val="none"/>
        </w:rPr>
      </w:pPr>
      <w:r>
        <w:rPr>
          <w:color w:val="auto"/>
          <w:szCs w:val="21"/>
          <w:highlight w:val="none"/>
        </w:rPr>
        <w:t>2.</w:t>
      </w:r>
      <w:r>
        <w:rPr>
          <w:rFonts w:hint="eastAsia"/>
          <w:color w:val="auto"/>
          <w:szCs w:val="21"/>
          <w:highlight w:val="none"/>
        </w:rPr>
        <w:t>2 标段划分及各标段招标内容、规模和最高投标限价</w:t>
      </w:r>
    </w:p>
    <w:p>
      <w:pPr>
        <w:spacing w:line="480" w:lineRule="exact"/>
        <w:ind w:firstLine="840" w:firstLineChars="400"/>
        <w:rPr>
          <w:color w:val="auto"/>
          <w:szCs w:val="21"/>
          <w:highlight w:val="none"/>
        </w:rPr>
      </w:pPr>
      <w:r>
        <w:rPr>
          <w:rFonts w:hint="eastAsia"/>
          <w:color w:val="auto"/>
          <w:szCs w:val="21"/>
          <w:highlight w:val="none"/>
        </w:rPr>
        <w:t>招标范围：</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rPr>
      </w:pPr>
      <w:r>
        <w:rPr>
          <w:rFonts w:hint="eastAsia"/>
          <w:color w:val="auto"/>
          <w:szCs w:val="21"/>
          <w:highlight w:val="none"/>
        </w:rPr>
        <w:t>招标内容：</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rPr>
      </w:pPr>
      <w:r>
        <w:rPr>
          <w:rFonts w:hint="eastAsia"/>
          <w:color w:val="auto"/>
          <w:szCs w:val="21"/>
          <w:highlight w:val="none"/>
        </w:rPr>
        <w:t>标段划分：</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840" w:firstLineChars="400"/>
        <w:rPr>
          <w:color w:val="auto"/>
          <w:szCs w:val="21"/>
          <w:highlight w:val="none"/>
          <w:u w:val="single"/>
        </w:rPr>
      </w:pPr>
      <w:r>
        <w:rPr>
          <w:rFonts w:hint="eastAsia"/>
          <w:color w:val="auto"/>
          <w:szCs w:val="21"/>
          <w:highlight w:val="none"/>
        </w:rPr>
        <w:t>（注：两个或两个以上标段的，应明确允许兼中或不兼中时，明确对项目负责人的数量要求。对于包含两个或两个以上专业的招标项目，应分别明确各专业对应的招标内容、规模和最高投标限价的专业组成费用。）</w:t>
      </w:r>
    </w:p>
    <w:p>
      <w:pPr>
        <w:spacing w:line="480" w:lineRule="exact"/>
        <w:ind w:left="420" w:leftChars="200" w:firstLine="420" w:firstLineChars="200"/>
        <w:rPr>
          <w:color w:val="auto"/>
          <w:szCs w:val="21"/>
          <w:highlight w:val="none"/>
        </w:rPr>
      </w:pPr>
      <w:r>
        <w:rPr>
          <w:rFonts w:hint="eastAsia"/>
          <w:color w:val="auto"/>
          <w:szCs w:val="21"/>
          <w:highlight w:val="none"/>
        </w:rPr>
        <w:t>计划</w:t>
      </w:r>
      <w:r>
        <w:rPr>
          <w:rFonts w:hint="eastAsia"/>
          <w:color w:val="auto"/>
          <w:highlight w:val="none"/>
        </w:rPr>
        <w:t>工期</w:t>
      </w:r>
      <w:r>
        <w:rPr>
          <w:rFonts w:hint="eastAsia"/>
          <w:color w:val="auto"/>
          <w:szCs w:val="21"/>
          <w:highlight w:val="none"/>
        </w:rPr>
        <w:t>：</w:t>
      </w:r>
      <w:r>
        <w:rPr>
          <w:rFonts w:hint="eastAsia"/>
          <w:color w:val="auto"/>
          <w:szCs w:val="21"/>
          <w:highlight w:val="none"/>
          <w:u w:val="single"/>
          <w:lang w:val="en-US" w:eastAsia="zh-CN"/>
        </w:rPr>
        <w:t xml:space="preserve">          </w:t>
      </w:r>
      <w:r>
        <w:rPr>
          <w:rFonts w:hint="eastAsia"/>
          <w:color w:val="auto"/>
          <w:szCs w:val="21"/>
          <w:highlight w:val="none"/>
        </w:rPr>
        <w:t>日历天。</w:t>
      </w:r>
    </w:p>
    <w:p>
      <w:pPr>
        <w:spacing w:line="480" w:lineRule="exact"/>
        <w:ind w:firstLine="840" w:firstLineChars="400"/>
        <w:rPr>
          <w:color w:val="auto"/>
          <w:szCs w:val="21"/>
          <w:highlight w:val="none"/>
        </w:rPr>
      </w:pPr>
      <w:r>
        <w:rPr>
          <w:rFonts w:hint="eastAsia"/>
          <w:color w:val="auto"/>
          <w:szCs w:val="21"/>
          <w:highlight w:val="none"/>
        </w:rPr>
        <w:t>最高投标限价：</w:t>
      </w:r>
      <w:r>
        <w:rPr>
          <w:rFonts w:hint="eastAsia"/>
          <w:color w:val="auto"/>
          <w:szCs w:val="21"/>
          <w:highlight w:val="none"/>
          <w:u w:val="single"/>
          <w:lang w:val="en-US" w:eastAsia="zh-CN"/>
        </w:rPr>
        <w:t xml:space="preserve">          万元</w:t>
      </w:r>
      <w:r>
        <w:rPr>
          <w:rFonts w:hint="eastAsia"/>
          <w:color w:val="auto"/>
          <w:szCs w:val="21"/>
          <w:highlight w:val="none"/>
        </w:rPr>
        <w:t>。</w:t>
      </w:r>
    </w:p>
    <w:p>
      <w:pPr>
        <w:spacing w:line="480" w:lineRule="exact"/>
        <w:ind w:firstLine="840" w:firstLineChars="400"/>
        <w:rPr>
          <w:color w:val="auto"/>
          <w:szCs w:val="21"/>
          <w:highlight w:val="none"/>
        </w:rPr>
      </w:pPr>
      <w:r>
        <w:rPr>
          <w:rFonts w:hint="eastAsia"/>
          <w:color w:val="auto"/>
          <w:szCs w:val="21"/>
          <w:highlight w:val="none"/>
        </w:rPr>
        <w:t>承包方式</w:t>
      </w:r>
      <w:r>
        <w:rPr>
          <w:rStyle w:val="27"/>
          <w:rFonts w:hint="eastAsia"/>
          <w:color w:val="auto"/>
          <w:szCs w:val="21"/>
          <w:highlight w:val="none"/>
        </w:rPr>
        <w:footnoteReference w:id="1"/>
      </w:r>
      <w:r>
        <w:rPr>
          <w:rFonts w:hint="eastAsia"/>
          <w:color w:val="auto"/>
          <w:szCs w:val="21"/>
          <w:highlight w:val="none"/>
        </w:rPr>
        <w:t>：</w:t>
      </w:r>
      <w:r>
        <w:rPr>
          <w:rFonts w:hint="eastAsia"/>
          <w:color w:val="auto"/>
          <w:szCs w:val="21"/>
          <w:highlight w:val="none"/>
          <w:u w:val="single"/>
          <w:lang w:val="en-US" w:eastAsia="zh-CN"/>
        </w:rPr>
        <w:t xml:space="preserve">          </w:t>
      </w:r>
      <w:r>
        <w:rPr>
          <w:rFonts w:hint="eastAsia"/>
          <w:color w:val="auto"/>
          <w:szCs w:val="21"/>
          <w:highlight w:val="none"/>
        </w:rPr>
        <w:t>。</w:t>
      </w:r>
    </w:p>
    <w:p>
      <w:pPr>
        <w:spacing w:line="480" w:lineRule="exact"/>
        <w:ind w:firstLine="420" w:firstLineChars="200"/>
        <w:rPr>
          <w:color w:val="auto"/>
          <w:szCs w:val="21"/>
          <w:highlight w:val="none"/>
        </w:rPr>
      </w:pPr>
      <w:r>
        <w:rPr>
          <w:color w:val="auto"/>
          <w:szCs w:val="21"/>
          <w:highlight w:val="none"/>
        </w:rPr>
        <w:t>2.</w:t>
      </w:r>
      <w:r>
        <w:rPr>
          <w:rFonts w:hint="eastAsia"/>
          <w:color w:val="auto"/>
          <w:szCs w:val="21"/>
          <w:highlight w:val="none"/>
        </w:rPr>
        <w:t>3 其他：</w:t>
      </w:r>
      <w:r>
        <w:rPr>
          <w:rFonts w:hint="eastAsia"/>
          <w:color w:val="auto"/>
          <w:szCs w:val="21"/>
          <w:highlight w:val="none"/>
          <w:u w:val="single"/>
          <w:lang w:val="en-US" w:eastAsia="zh-CN"/>
        </w:rPr>
        <w:t xml:space="preserve">         </w:t>
      </w:r>
      <w:r>
        <w:rPr>
          <w:rFonts w:hint="eastAsia"/>
          <w:color w:val="auto"/>
          <w:szCs w:val="21"/>
          <w:highlight w:val="none"/>
        </w:rPr>
        <w:t>。</w:t>
      </w:r>
    </w:p>
    <w:p>
      <w:pPr>
        <w:pStyle w:val="20"/>
        <w:spacing w:before="120" w:afterLines="50"/>
        <w:outlineLvl w:val="2"/>
        <w:rPr>
          <w:rFonts w:hint="eastAsia"/>
          <w:color w:val="auto"/>
          <w:highlight w:val="none"/>
        </w:rPr>
      </w:pPr>
      <w:bookmarkStart w:id="257" w:name="_Toc27016"/>
      <w:r>
        <w:rPr>
          <w:rFonts w:hint="eastAsia"/>
          <w:color w:val="auto"/>
          <w:highlight w:val="none"/>
        </w:rPr>
        <w:t>3. 投标人资格要求</w:t>
      </w:r>
      <w:bookmarkEnd w:id="257"/>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投标人参加投标的意思表达清楚，投标人代表被授权有效。</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rPr>
      </w:pPr>
      <w:r>
        <w:rPr>
          <w:rFonts w:hint="eastAsia" w:ascii="宋体" w:hAnsi="宋体" w:cs="宋体"/>
          <w:color w:val="auto"/>
          <w:highlight w:val="none"/>
        </w:rPr>
        <w:t>3.2投标人均具有独立法人资格，按国家法律经营。</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rPr>
      </w:pPr>
      <w:r>
        <w:rPr>
          <w:rFonts w:hint="eastAsia" w:ascii="宋体" w:hAnsi="宋体" w:cs="宋体"/>
          <w:color w:val="auto"/>
          <w:highlight w:val="none"/>
        </w:rPr>
        <w:t>3.3投标人均持有相关主管部门颁发有效期内的企业资质证书及安全生产许可证。</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rPr>
        <w:t>3.4本次招标要求投标人须具备</w:t>
      </w:r>
      <w:r>
        <w:rPr>
          <w:rFonts w:hint="eastAsia" w:ascii="宋体" w:hAnsi="宋体" w:cs="宋体"/>
          <w:color w:val="auto"/>
          <w:highlight w:val="none"/>
          <w:u w:val="none"/>
        </w:rPr>
        <w:t>以下资质：</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（注：施工总承包招标选择此项）投标人具有承接本工程所需的</w:t>
      </w:r>
      <w:r>
        <w:rPr>
          <w:rFonts w:hint="eastAsia" w:ascii="宋体" w:hAnsi="宋体" w:cs="宋体"/>
          <w:color w:val="auto"/>
          <w:highlight w:val="none"/>
          <w:u w:val="single"/>
        </w:rPr>
        <w:t xml:space="preserve">      </w:t>
      </w:r>
      <w:r>
        <w:rPr>
          <w:rFonts w:hint="eastAsia" w:ascii="宋体" w:hAnsi="宋体" w:cs="宋体"/>
          <w:color w:val="auto"/>
          <w:highlight w:val="none"/>
          <w:u w:val="none"/>
        </w:rPr>
        <w:t>级或以上级别施工总承包资质；（注：应选择符合招标内容的一种施工总承包资质；联合体的，以资质等级低的一方为等级标准）。</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（注：专业承包招标选择此项</w:t>
      </w:r>
      <w:r>
        <w:rPr>
          <w:rFonts w:hint="eastAsia" w:ascii="宋体" w:hAnsi="宋体" w:cs="宋体"/>
          <w:color w:val="auto"/>
          <w:highlight w:val="none"/>
          <w:u w:val="none"/>
          <w:lang w:eastAsia="zh-CN"/>
        </w:rPr>
        <w:t>，专业应与农田建设内容相关</w:t>
      </w:r>
      <w:r>
        <w:rPr>
          <w:rFonts w:hint="eastAsia" w:ascii="宋体" w:hAnsi="宋体" w:cs="宋体"/>
          <w:color w:val="auto"/>
          <w:highlight w:val="none"/>
          <w:u w:val="none"/>
        </w:rPr>
        <w:t xml:space="preserve">）投标人具有承接本工程所需的 </w:t>
      </w:r>
      <w:r>
        <w:rPr>
          <w:rFonts w:hint="eastAsia" w:ascii="宋体" w:hAnsi="宋体" w:cs="宋体"/>
          <w:color w:val="auto"/>
          <w:highlight w:val="none"/>
          <w:u w:val="single"/>
        </w:rPr>
        <w:t xml:space="preserve">           </w:t>
      </w:r>
      <w:r>
        <w:rPr>
          <w:rFonts w:hint="eastAsia" w:ascii="宋体" w:hAnsi="宋体" w:cs="宋体"/>
          <w:color w:val="auto"/>
          <w:highlight w:val="none"/>
          <w:u w:val="none"/>
        </w:rPr>
        <w:t>级或以上级别专业承包资质。</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3.5投标人拟担任本项目负责人的人员为：</w:t>
      </w:r>
      <w:r>
        <w:rPr>
          <w:rFonts w:hint="eastAsia" w:ascii="宋体" w:hAnsi="宋体" w:cs="宋体"/>
          <w:color w:val="auto"/>
          <w:highlight w:val="none"/>
          <w:u w:val="single"/>
        </w:rPr>
        <w:t xml:space="preserve">      </w:t>
      </w:r>
      <w:r>
        <w:rPr>
          <w:rFonts w:hint="eastAsia" w:ascii="宋体" w:hAnsi="宋体" w:cs="宋体"/>
          <w:color w:val="auto"/>
          <w:highlight w:val="none"/>
          <w:u w:val="none"/>
        </w:rPr>
        <w:t>专业</w:t>
      </w:r>
      <w:r>
        <w:rPr>
          <w:rFonts w:hint="eastAsia" w:ascii="宋体" w:hAnsi="宋体" w:cs="宋体"/>
          <w:color w:val="auto"/>
          <w:highlight w:val="none"/>
          <w:u w:val="single"/>
        </w:rPr>
        <w:t xml:space="preserve">   </w:t>
      </w:r>
      <w:r>
        <w:rPr>
          <w:rFonts w:hint="eastAsia" w:ascii="宋体" w:hAnsi="宋体" w:cs="宋体"/>
          <w:color w:val="auto"/>
          <w:highlight w:val="none"/>
          <w:u w:val="none"/>
        </w:rPr>
        <w:t>级或以上级别的注册建造师；同时具备有效的安全生产考核合格证（B类）或建筑施工企业项目负责人安全生产考核合格证书，且未在其他在建工程项目中担任项目负责人。</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3.6专职安全员须具有安全生产考核合格证（C类）或建筑施工企业专职安全生产管理人员安全生产考核合格证书。</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ascii="宋体" w:hAnsi="宋体" w:cs="宋体"/>
          <w:color w:val="auto"/>
          <w:highlight w:val="none"/>
          <w:u w:val="none"/>
        </w:rPr>
      </w:pPr>
      <w:r>
        <w:rPr>
          <w:rFonts w:hint="eastAsia" w:ascii="宋体" w:hAnsi="宋体" w:cs="宋体"/>
          <w:color w:val="auto"/>
          <w:highlight w:val="none"/>
          <w:u w:val="none"/>
        </w:rPr>
        <w:t>注：项目负责人在任职期间不得担任专职安全员，项目专职安全员在任职期间也不得担任项目负责人，项目负责人和专职安全员不为同一人。</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u w:val="none"/>
        </w:rPr>
      </w:pPr>
      <w:r>
        <w:rPr>
          <w:rFonts w:hint="eastAsia" w:cs="宋体"/>
          <w:color w:val="auto"/>
          <w:highlight w:val="none"/>
          <w:u w:val="none"/>
        </w:rPr>
        <w:t>3</w:t>
      </w:r>
      <w:r>
        <w:rPr>
          <w:rFonts w:hint="eastAsia" w:ascii="宋体" w:hAnsi="宋体" w:cs="宋体"/>
          <w:color w:val="auto"/>
          <w:highlight w:val="none"/>
          <w:u w:val="none"/>
        </w:rPr>
        <w:t>.</w:t>
      </w:r>
      <w:r>
        <w:rPr>
          <w:rFonts w:hint="eastAsia" w:cs="宋体"/>
          <w:color w:val="auto"/>
          <w:highlight w:val="none"/>
          <w:u w:val="none"/>
          <w:lang w:val="en-US" w:eastAsia="zh-CN"/>
        </w:rPr>
        <w:t>7</w:t>
      </w:r>
      <w:r>
        <w:rPr>
          <w:rFonts w:hint="eastAsia" w:ascii="宋体" w:hAnsi="宋体" w:cs="宋体"/>
          <w:color w:val="auto"/>
          <w:szCs w:val="21"/>
          <w:highlight w:val="none"/>
          <w:u w:val="none"/>
        </w:rPr>
        <w:t>本次招标</w:t>
      </w:r>
      <w:r>
        <w:rPr>
          <w:rFonts w:hint="eastAsia" w:ascii="宋体" w:hAnsi="宋体" w:cs="宋体"/>
          <w:color w:val="auto"/>
          <w:szCs w:val="21"/>
          <w:highlight w:val="none"/>
          <w:u w:val="single"/>
        </w:rPr>
        <w:t xml:space="preserve"> （接受/不接受）</w:t>
      </w:r>
      <w:r>
        <w:rPr>
          <w:rFonts w:hint="eastAsia" w:ascii="宋体" w:hAnsi="宋体" w:cs="宋体"/>
          <w:color w:val="auto"/>
          <w:szCs w:val="21"/>
          <w:highlight w:val="none"/>
          <w:u w:val="none"/>
        </w:rPr>
        <w:t>联合体投标。 联合体投标的，应满足</w:t>
      </w:r>
      <w:r>
        <w:rPr>
          <w:rFonts w:hint="eastAsia" w:ascii="宋体" w:hAnsi="宋体" w:cs="宋体"/>
          <w:color w:val="auto"/>
          <w:highlight w:val="none"/>
          <w:u w:val="none"/>
        </w:rPr>
        <w:t>下列要求：（采用单一资质的，招标人应明确是否允许联合体，涉及多资质的招标人应允许联合体投标；但法律规定应同时具备的除外）</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u w:val="none"/>
        </w:rPr>
      </w:pPr>
      <w:r>
        <w:rPr>
          <w:rFonts w:hint="eastAsia" w:ascii="宋体" w:hAnsi="宋体" w:cs="宋体"/>
          <w:color w:val="auto"/>
          <w:highlight w:val="none"/>
          <w:u w:val="none"/>
        </w:rPr>
        <w:t>如投标人组成联合体，应明确</w:t>
      </w:r>
      <w:r>
        <w:rPr>
          <w:rFonts w:hint="eastAsia" w:ascii="宋体" w:hAnsi="宋体" w:cs="宋体"/>
          <w:color w:val="auto"/>
          <w:highlight w:val="none"/>
          <w:u w:val="none"/>
          <w:lang w:val="en-US" w:eastAsia="zh-CN"/>
        </w:rPr>
        <w:t>牵头人（</w:t>
      </w:r>
      <w:r>
        <w:rPr>
          <w:rFonts w:hint="eastAsia" w:ascii="宋体" w:hAnsi="宋体" w:cs="宋体"/>
          <w:color w:val="auto"/>
          <w:highlight w:val="none"/>
          <w:u w:val="none"/>
        </w:rPr>
        <w:t>主办方</w:t>
      </w:r>
      <w:r>
        <w:rPr>
          <w:rFonts w:hint="eastAsia" w:ascii="宋体" w:hAnsi="宋体" w:cs="宋体"/>
          <w:color w:val="auto"/>
          <w:highlight w:val="none"/>
          <w:u w:val="none"/>
          <w:lang w:val="en-US" w:eastAsia="zh-CN"/>
        </w:rPr>
        <w:t>）</w:t>
      </w:r>
      <w:r>
        <w:rPr>
          <w:rFonts w:hint="eastAsia" w:ascii="宋体" w:hAnsi="宋体" w:cs="宋体"/>
          <w:color w:val="auto"/>
          <w:highlight w:val="none"/>
          <w:u w:val="none"/>
        </w:rPr>
        <w:t>，并</w:t>
      </w:r>
      <w:r>
        <w:rPr>
          <w:rFonts w:hint="eastAsia" w:ascii="宋体" w:hAnsi="宋体" w:cs="宋体"/>
          <w:color w:val="auto"/>
          <w:highlight w:val="none"/>
          <w:u w:val="none"/>
          <w:lang w:eastAsia="zh-CN"/>
        </w:rPr>
        <w:t>签订联合体</w:t>
      </w:r>
      <w:r>
        <w:rPr>
          <w:rFonts w:hint="eastAsia" w:ascii="宋体" w:hAnsi="宋体" w:cs="宋体"/>
          <w:color w:val="auto"/>
          <w:highlight w:val="none"/>
          <w:u w:val="none"/>
        </w:rPr>
        <w:t>工作协议。投标人拟任本项目负责人应为</w:t>
      </w:r>
      <w:r>
        <w:rPr>
          <w:rFonts w:hint="eastAsia" w:ascii="宋体" w:hAnsi="宋体" w:cs="宋体"/>
          <w:color w:val="auto"/>
          <w:highlight w:val="none"/>
          <w:u w:val="none"/>
          <w:lang w:val="en-US" w:eastAsia="zh-CN"/>
        </w:rPr>
        <w:t>牵头人</w:t>
      </w:r>
      <w:r>
        <w:rPr>
          <w:rFonts w:hint="eastAsia" w:ascii="宋体" w:hAnsi="宋体" w:cs="宋体"/>
          <w:color w:val="auto"/>
          <w:highlight w:val="none"/>
          <w:u w:val="none"/>
        </w:rPr>
        <w:t>正式员工。联合体工作协议应明确约定各方拟承担的工作和责任。</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u w:val="none"/>
        </w:rPr>
        <w:t>（1）组成联合体承接按资质标准划分</w:t>
      </w:r>
      <w:r>
        <w:rPr>
          <w:rFonts w:hint="eastAsia" w:ascii="宋体" w:hAnsi="宋体" w:cs="宋体"/>
          <w:color w:val="auto"/>
          <w:highlight w:val="none"/>
        </w:rPr>
        <w:t>为同一类工程的投标人，其人员、机械设备等资源性指标可合并计算。</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（2）组成联合体承接按资质标准划分为多类工程的投标人，应在联合体协议中明确承接每一类工程的成员单位。</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8</w:t>
      </w:r>
      <w:r>
        <w:rPr>
          <w:rFonts w:hint="eastAsia" w:ascii="宋体" w:hAnsi="宋体" w:cs="宋体"/>
          <w:color w:val="auto"/>
          <w:highlight w:val="none"/>
        </w:rPr>
        <w:t>信誉要求</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 xml:space="preserve">（1）没有被依法暂停或取消投标资格（指被本招标项目所在地县级及以上农业农村（或住建、水利、公共资源交易）行政主管部门暂停或取消投标资格或禁止进入该区域建设市场且处于有效期内）； </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（2）没有被责令停产停业、暂扣或者吊销许可证、暂扣或者吊销执照；</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（3）没有进入清算程序，或被宣告破产，或其他丧失履约能力的情形；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（4）在最近三年内没有发生重大工程质量问题（以相关行业主管部门的行政处罚决定或司法机关出具的有关法律文书为准）；</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（5）在“国家企业信用信息公示系统”（ ）中没有被列入严重违法失信企业名单；</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（6）在“信用中国”网站（www.creditchina.gov.cn）或“中国执行信息公开网”（http://zxgk.court.gov.cn/shixin/）没有被列入失信被执行人名单；</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（7）在近三年内投标人或其法定代表人、拟委任的项目负责人没有行贿犯罪行为。</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（8）不存在法律法规或投标人须知前附表第1.4.3（19）目规定的不得存在的其他情形。</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color w:val="auto"/>
          <w:highlight w:val="none"/>
        </w:rPr>
      </w:pPr>
      <w:r>
        <w:rPr>
          <w:rFonts w:hint="eastAsia"/>
          <w:color w:val="auto"/>
          <w:highlight w:val="none"/>
        </w:rPr>
        <w:t>3</w:t>
      </w:r>
      <w:r>
        <w:rPr>
          <w:rFonts w:hint="eastAsia" w:ascii="宋体" w:hAnsi="宋体" w:cs="宋体"/>
          <w:color w:val="auto"/>
          <w:highlight w:val="none"/>
        </w:rPr>
        <w:t>.</w:t>
      </w:r>
      <w:r>
        <w:rPr>
          <w:rFonts w:hint="eastAsia"/>
          <w:color w:val="auto"/>
          <w:highlight w:val="none"/>
          <w:lang w:val="en-US" w:eastAsia="zh-CN"/>
        </w:rPr>
        <w:t>9</w:t>
      </w:r>
      <w:r>
        <w:rPr>
          <w:rFonts w:hint="eastAsia"/>
          <w:color w:val="auto"/>
          <w:highlight w:val="none"/>
        </w:rPr>
        <w:t>资格审查前，投标人须在交易平台完成企业信息登记，及拟担任本工程项目负责人、专职安全员须是本企业信息登记中的在册人员。企业信息登记应按照交易平台关于企业信息登记的相关指南进行操作。详见：</w:t>
      </w:r>
      <w:r>
        <w:rPr>
          <w:rFonts w:hint="eastAsia"/>
          <w:color w:val="auto"/>
          <w:szCs w:val="21"/>
          <w:highlight w:val="none"/>
          <w:u w:val="single"/>
          <w:lang w:val="en-US" w:eastAsia="zh-CN"/>
        </w:rPr>
        <w:t xml:space="preserve">          </w:t>
      </w:r>
      <w:r>
        <w:rPr>
          <w:rFonts w:hint="eastAsia"/>
          <w:color w:val="auto"/>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color w:val="auto"/>
          <w:highlight w:val="none"/>
        </w:rPr>
      </w:pPr>
      <w:r>
        <w:rPr>
          <w:rFonts w:hint="eastAsia"/>
          <w:color w:val="auto"/>
          <w:highlight w:val="none"/>
        </w:rPr>
        <w:t>3.1</w:t>
      </w:r>
      <w:r>
        <w:rPr>
          <w:rFonts w:hint="eastAsia"/>
          <w:color w:val="auto"/>
          <w:highlight w:val="none"/>
          <w:lang w:val="en-US" w:eastAsia="zh-CN"/>
        </w:rPr>
        <w:t>0</w:t>
      </w:r>
      <w:r>
        <w:rPr>
          <w:rFonts w:hint="eastAsia"/>
          <w:color w:val="auto"/>
          <w:highlight w:val="none"/>
        </w:rPr>
        <w:t>其他</w:t>
      </w:r>
      <w:r>
        <w:rPr>
          <w:color w:val="auto"/>
          <w:highlight w:val="none"/>
        </w:rPr>
        <w:t>要求：____________</w:t>
      </w:r>
      <w:r>
        <w:rPr>
          <w:rFonts w:hint="eastAsia"/>
          <w:color w:val="auto"/>
          <w:highlight w:val="none"/>
        </w:rPr>
        <w:t>。</w:t>
      </w:r>
    </w:p>
    <w:p>
      <w:pPr>
        <w:pStyle w:val="20"/>
        <w:spacing w:before="120" w:afterLines="50"/>
        <w:outlineLvl w:val="2"/>
        <w:rPr>
          <w:rFonts w:hint="eastAsia"/>
          <w:color w:val="auto"/>
          <w:highlight w:val="none"/>
        </w:rPr>
      </w:pPr>
      <w:bookmarkStart w:id="258" w:name="_Toc7771"/>
      <w:bookmarkStart w:id="259" w:name="_Toc15386"/>
      <w:bookmarkStart w:id="260" w:name="_Toc2077382681"/>
      <w:bookmarkStart w:id="261" w:name="_Toc12485"/>
      <w:bookmarkStart w:id="262" w:name="_Toc9895"/>
      <w:bookmarkStart w:id="263" w:name="_Toc2801"/>
      <w:bookmarkStart w:id="264" w:name="_Toc25423"/>
      <w:bookmarkStart w:id="265" w:name="_Toc327529799"/>
      <w:r>
        <w:rPr>
          <w:rFonts w:hint="eastAsia"/>
          <w:color w:val="auto"/>
          <w:highlight w:val="none"/>
        </w:rPr>
        <w:t>4. 招标文件的获取</w:t>
      </w:r>
      <w:bookmarkEnd w:id="255"/>
      <w:bookmarkEnd w:id="258"/>
      <w:bookmarkEnd w:id="259"/>
      <w:bookmarkEnd w:id="260"/>
      <w:bookmarkEnd w:id="261"/>
      <w:bookmarkEnd w:id="262"/>
      <w:bookmarkEnd w:id="263"/>
      <w:bookmarkEnd w:id="264"/>
      <w:bookmarkEnd w:id="265"/>
    </w:p>
    <w:p>
      <w:pPr>
        <w:spacing w:afterLines="50" w:line="460" w:lineRule="exact"/>
        <w:ind w:firstLine="437"/>
        <w:rPr>
          <w:rFonts w:cs="宋体"/>
          <w:color w:val="auto"/>
          <w:szCs w:val="21"/>
          <w:highlight w:val="none"/>
        </w:rPr>
      </w:pPr>
      <w:bookmarkStart w:id="266" w:name="_Toc387753545"/>
      <w:r>
        <w:rPr>
          <w:rFonts w:hint="eastAsia" w:cs="宋体"/>
          <w:color w:val="auto"/>
          <w:szCs w:val="21"/>
          <w:highlight w:val="none"/>
        </w:rPr>
        <w:t>4.1 凡拟被邀请参加投标者（若为联合体投标，指联合体所有成员），应当在</w:t>
      </w:r>
      <w:r>
        <w:rPr>
          <w:rFonts w:hint="eastAsia"/>
          <w:color w:val="auto"/>
          <w:szCs w:val="21"/>
          <w:highlight w:val="none"/>
          <w:u w:val="single"/>
          <w:lang w:val="en-US" w:eastAsia="zh-CN"/>
        </w:rPr>
        <w:t xml:space="preserve">     </w:t>
      </w:r>
      <w:r>
        <w:rPr>
          <w:rFonts w:hint="eastAsia" w:cs="宋体"/>
          <w:color w:val="auto"/>
          <w:szCs w:val="21"/>
          <w:highlight w:val="none"/>
          <w:u w:val="single"/>
        </w:rPr>
        <w:t>交易平台</w:t>
      </w:r>
      <w:r>
        <w:rPr>
          <w:rFonts w:hint="eastAsia" w:cs="宋体"/>
          <w:color w:val="auto"/>
          <w:szCs w:val="21"/>
          <w:highlight w:val="none"/>
        </w:rPr>
        <w:t>（以下简称“电子交易平台”，下同）（网址：</w:t>
      </w:r>
      <w:r>
        <w:rPr>
          <w:rFonts w:hint="eastAsia"/>
          <w:color w:val="auto"/>
          <w:szCs w:val="21"/>
          <w:highlight w:val="none"/>
          <w:u w:val="single"/>
          <w:lang w:val="en-US" w:eastAsia="zh-CN"/>
        </w:rPr>
        <w:t xml:space="preserve">     </w:t>
      </w:r>
      <w:r>
        <w:rPr>
          <w:rFonts w:hint="eastAsia" w:cs="宋体"/>
          <w:color w:val="auto"/>
          <w:szCs w:val="21"/>
          <w:highlight w:val="none"/>
        </w:rPr>
        <w:t>）进行注册登记，并办理CA数字证书。（</w:t>
      </w:r>
      <w:r>
        <w:rPr>
          <w:rFonts w:hint="eastAsia"/>
          <w:color w:val="auto"/>
          <w:highlight w:val="none"/>
        </w:rPr>
        <w:t xml:space="preserve">具体按照交易平台的相关指南进行操作，详见 </w:t>
      </w:r>
      <w:r>
        <w:rPr>
          <w:rFonts w:hint="eastAsia"/>
          <w:color w:val="auto"/>
          <w:szCs w:val="21"/>
          <w:highlight w:val="none"/>
          <w:u w:val="single"/>
          <w:lang w:val="en-US" w:eastAsia="zh-CN"/>
        </w:rPr>
        <w:t xml:space="preserve">     </w:t>
      </w:r>
      <w:r>
        <w:rPr>
          <w:rFonts w:hint="eastAsia" w:cs="宋体"/>
          <w:color w:val="auto"/>
          <w:szCs w:val="21"/>
          <w:highlight w:val="none"/>
        </w:rPr>
        <w:t>）。</w:t>
      </w:r>
    </w:p>
    <w:p>
      <w:pPr>
        <w:spacing w:afterLines="50" w:line="460" w:lineRule="exact"/>
        <w:ind w:firstLine="437"/>
        <w:rPr>
          <w:color w:val="auto"/>
          <w:highlight w:val="none"/>
        </w:rPr>
      </w:pP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本投标邀请书通过“电子交易平台”发出。</w:t>
      </w:r>
      <w:r>
        <w:rPr>
          <w:rFonts w:ascii="宋体" w:hAnsi="宋体" w:cs="宋体"/>
          <w:color w:val="auto"/>
          <w:szCs w:val="21"/>
          <w:highlight w:val="none"/>
        </w:rPr>
        <w:t>请你单位收到</w:t>
      </w:r>
      <w:r>
        <w:rPr>
          <w:rFonts w:hint="eastAsia" w:ascii="宋体" w:hAnsi="宋体" w:cs="宋体"/>
          <w:color w:val="auto"/>
          <w:szCs w:val="21"/>
          <w:highlight w:val="none"/>
        </w:rPr>
        <w:t>投标</w:t>
      </w:r>
      <w:r>
        <w:rPr>
          <w:rFonts w:ascii="宋体" w:hAnsi="宋体" w:cs="宋体"/>
          <w:color w:val="auto"/>
          <w:szCs w:val="21"/>
          <w:highlight w:val="none"/>
        </w:rPr>
        <w:t>邀请书后</w:t>
      </w:r>
      <w:r>
        <w:rPr>
          <w:rFonts w:hint="eastAsia" w:ascii="宋体" w:hAnsi="宋体" w:cs="宋体"/>
          <w:color w:val="auto"/>
          <w:szCs w:val="21"/>
          <w:highlight w:val="none"/>
        </w:rPr>
        <w:t>（以发出时间为准）日内，通过互联网</w:t>
      </w:r>
      <w:r>
        <w:rPr>
          <w:rFonts w:ascii="宋体" w:hAnsi="宋体" w:cs="宋体"/>
          <w:color w:val="auto"/>
          <w:szCs w:val="21"/>
          <w:highlight w:val="none"/>
        </w:rPr>
        <w:t>使用</w:t>
      </w:r>
      <w:r>
        <w:rPr>
          <w:rFonts w:hint="eastAsia" w:ascii="宋体" w:hAnsi="宋体" w:cs="宋体"/>
          <w:color w:val="auto"/>
          <w:szCs w:val="21"/>
          <w:highlight w:val="none"/>
        </w:rPr>
        <w:t>CA数字证书登录“电子交易平台”上传“投标确认书</w:t>
      </w:r>
      <w:r>
        <w:rPr>
          <w:rFonts w:ascii="宋体" w:hAnsi="宋体" w:cs="宋体"/>
          <w:color w:val="auto"/>
          <w:szCs w:val="21"/>
          <w:highlight w:val="none"/>
        </w:rPr>
        <w:t>”</w:t>
      </w:r>
      <w:r>
        <w:rPr>
          <w:rFonts w:hint="eastAsia" w:ascii="宋体" w:hAnsi="宋体" w:cs="宋体"/>
          <w:color w:val="auto"/>
          <w:szCs w:val="21"/>
          <w:highlight w:val="none"/>
        </w:rPr>
        <w:t>。未按要求递交“投标确认书</w:t>
      </w:r>
      <w:r>
        <w:rPr>
          <w:rFonts w:ascii="宋体" w:hAnsi="宋体" w:cs="宋体"/>
          <w:color w:val="auto"/>
          <w:szCs w:val="21"/>
          <w:highlight w:val="none"/>
        </w:rPr>
        <w:t>”</w:t>
      </w:r>
      <w:r>
        <w:rPr>
          <w:rFonts w:hint="eastAsia" w:ascii="宋体" w:hAnsi="宋体" w:cs="宋体"/>
          <w:color w:val="auto"/>
          <w:szCs w:val="21"/>
          <w:highlight w:val="none"/>
        </w:rPr>
        <w:t>的，将无法下载招标文件，视为放弃投标资格。</w:t>
      </w:r>
    </w:p>
    <w:p>
      <w:pPr>
        <w:adjustRightInd w:val="0"/>
        <w:snapToGrid w:val="0"/>
        <w:spacing w:line="360" w:lineRule="auto"/>
        <w:ind w:firstLine="420" w:firstLineChars="200"/>
        <w:rPr>
          <w:rFonts w:ascii="宋体" w:hAnsi="宋体" w:cs="宋体"/>
          <w:color w:val="auto"/>
          <w:szCs w:val="21"/>
          <w:highlight w:val="none"/>
        </w:rPr>
      </w:pP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 xml:space="preserve"> 递交“投标确认书”后，</w:t>
      </w:r>
      <w:r>
        <w:rPr>
          <w:rFonts w:hint="eastAsia" w:ascii="宋体" w:hAnsi="宋体" w:cs="宋体"/>
          <w:color w:val="auto"/>
          <w:highlight w:val="none"/>
        </w:rPr>
        <w:t>请于</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分至</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分止</w:t>
      </w:r>
      <w:r>
        <w:rPr>
          <w:rFonts w:hint="eastAsia" w:ascii="宋体" w:hAnsi="宋体" w:cs="宋体"/>
          <w:color w:val="auto"/>
          <w:szCs w:val="21"/>
          <w:highlight w:val="none"/>
        </w:rPr>
        <w:t>（北京时间、下同）</w:t>
      </w:r>
      <w:r>
        <w:rPr>
          <w:rFonts w:hint="eastAsia" w:ascii="宋体" w:hAnsi="宋体" w:cs="宋体"/>
          <w:color w:val="auto"/>
          <w:highlight w:val="none"/>
        </w:rPr>
        <w:t>，通过互联网使用</w:t>
      </w:r>
      <w:r>
        <w:rPr>
          <w:rFonts w:hint="eastAsia" w:ascii="宋体" w:hAnsi="宋体" w:cs="宋体"/>
          <w:color w:val="auto"/>
          <w:szCs w:val="21"/>
          <w:highlight w:val="none"/>
        </w:rPr>
        <w:t>CA数字证书</w:t>
      </w:r>
      <w:r>
        <w:rPr>
          <w:rFonts w:hint="eastAsia" w:ascii="宋体" w:hAnsi="宋体" w:cs="宋体"/>
          <w:color w:val="auto"/>
          <w:highlight w:val="none"/>
        </w:rPr>
        <w:t>登录“电子交易平台”</w:t>
      </w:r>
      <w:r>
        <w:rPr>
          <w:rFonts w:hint="eastAsia" w:ascii="宋体" w:hAnsi="宋体" w:cs="宋体"/>
          <w:color w:val="auto"/>
          <w:szCs w:val="21"/>
          <w:highlight w:val="none"/>
        </w:rPr>
        <w:t>，在所投标段免费下载招标文件。联合体投标的，由联合体牵头人下载招标文件（具体操作按照交易平台的相关指南进行，详见</w:t>
      </w:r>
      <w:r>
        <w:rPr>
          <w:rFonts w:hint="eastAsia"/>
          <w:color w:val="auto"/>
          <w:szCs w:val="21"/>
          <w:highlight w:val="none"/>
          <w:u w:val="single"/>
          <w:lang w:val="en-US" w:eastAsia="zh-CN"/>
        </w:rPr>
        <w:t xml:space="preserve">     </w:t>
      </w:r>
      <w:r>
        <w:rPr>
          <w:rFonts w:hint="eastAsia"/>
          <w:color w:val="auto"/>
          <w:highlight w:val="none"/>
        </w:rPr>
        <w:t>）。</w:t>
      </w:r>
      <w:r>
        <w:rPr>
          <w:rFonts w:hint="eastAsia" w:ascii="宋体" w:hAnsi="宋体" w:cs="宋体"/>
          <w:color w:val="auto"/>
          <w:szCs w:val="21"/>
          <w:highlight w:val="none"/>
        </w:rPr>
        <w:t>未按规定从“电子交易平台”下载招标文件的，</w:t>
      </w:r>
      <w:r>
        <w:rPr>
          <w:rFonts w:hint="eastAsia"/>
          <w:color w:val="auto"/>
          <w:highlight w:val="none"/>
        </w:rPr>
        <w:t>招标人 （“</w:t>
      </w:r>
      <w:r>
        <w:rPr>
          <w:color w:val="auto"/>
          <w:highlight w:val="none"/>
        </w:rPr>
        <w:t>电子</w:t>
      </w:r>
      <w:r>
        <w:rPr>
          <w:rFonts w:hint="eastAsia"/>
          <w:color w:val="auto"/>
          <w:highlight w:val="none"/>
        </w:rPr>
        <w:t>交易平台”）拒收其投标文件。</w:t>
      </w:r>
    </w:p>
    <w:p>
      <w:pPr>
        <w:pStyle w:val="20"/>
        <w:spacing w:before="120" w:afterLines="50"/>
        <w:outlineLvl w:val="2"/>
        <w:rPr>
          <w:rFonts w:hint="eastAsia"/>
          <w:color w:val="auto"/>
          <w:highlight w:val="none"/>
        </w:rPr>
      </w:pPr>
      <w:bookmarkStart w:id="267" w:name="_Toc27132"/>
      <w:bookmarkStart w:id="268" w:name="_Toc31303"/>
      <w:bookmarkStart w:id="269" w:name="_Toc1157001491"/>
      <w:bookmarkStart w:id="270" w:name="_Toc432"/>
      <w:bookmarkStart w:id="271" w:name="_Toc30195"/>
      <w:bookmarkStart w:id="272" w:name="_Toc1836693673"/>
      <w:bookmarkStart w:id="273" w:name="_Toc244"/>
      <w:bookmarkStart w:id="274" w:name="_Toc24285"/>
      <w:r>
        <w:rPr>
          <w:rFonts w:hint="eastAsia"/>
          <w:color w:val="auto"/>
          <w:highlight w:val="none"/>
        </w:rPr>
        <w:t>5. 递交投标文件时间与开标时间</w:t>
      </w:r>
      <w:bookmarkEnd w:id="266"/>
      <w:bookmarkEnd w:id="267"/>
      <w:bookmarkEnd w:id="268"/>
      <w:bookmarkEnd w:id="269"/>
      <w:bookmarkEnd w:id="270"/>
      <w:bookmarkEnd w:id="271"/>
      <w:bookmarkEnd w:id="272"/>
      <w:bookmarkEnd w:id="273"/>
      <w:bookmarkEnd w:id="274"/>
    </w:p>
    <w:p>
      <w:pPr>
        <w:adjustRightInd w:val="0"/>
        <w:snapToGrid w:val="0"/>
        <w:spacing w:line="360" w:lineRule="auto"/>
        <w:ind w:firstLine="420" w:firstLineChars="200"/>
        <w:rPr>
          <w:color w:val="auto"/>
          <w:highlight w:val="none"/>
        </w:rPr>
      </w:pPr>
      <w:bookmarkStart w:id="275" w:name="_Toc387753547"/>
      <w:r>
        <w:rPr>
          <w:rFonts w:hint="eastAsia"/>
          <w:color w:val="auto"/>
          <w:highlight w:val="none"/>
        </w:rPr>
        <w:t>5.1 递交投标文件起始时间：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color w:val="auto"/>
          <w:highlight w:val="none"/>
        </w:rPr>
        <w:t>；</w:t>
      </w:r>
    </w:p>
    <w:p>
      <w:pPr>
        <w:adjustRightInd w:val="0"/>
        <w:snapToGrid w:val="0"/>
        <w:spacing w:line="360" w:lineRule="auto"/>
        <w:ind w:firstLine="2100" w:firstLineChars="1000"/>
        <w:rPr>
          <w:color w:val="auto"/>
          <w:highlight w:val="none"/>
        </w:rPr>
      </w:pPr>
      <w:r>
        <w:rPr>
          <w:rFonts w:hint="eastAsia"/>
          <w:color w:val="auto"/>
          <w:highlight w:val="none"/>
        </w:rPr>
        <w:t>截止时间：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color w:val="auto"/>
          <w:highlight w:val="none"/>
        </w:rPr>
        <w:t>。</w:t>
      </w:r>
    </w:p>
    <w:p>
      <w:pPr>
        <w:adjustRightInd w:val="0"/>
        <w:snapToGrid w:val="0"/>
        <w:spacing w:line="360" w:lineRule="auto"/>
        <w:ind w:firstLine="420" w:firstLineChars="200"/>
        <w:rPr>
          <w:color w:val="auto"/>
          <w:highlight w:val="none"/>
        </w:rPr>
      </w:pPr>
      <w:r>
        <w:rPr>
          <w:rFonts w:hint="eastAsia"/>
          <w:color w:val="auto"/>
          <w:highlight w:val="none"/>
        </w:rPr>
        <w:t>5.2 （选择性条款）递交投标文件备用光盘时间：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分至</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color w:val="auto"/>
          <w:highlight w:val="none"/>
        </w:rPr>
        <w:t>；递交地点：</w:t>
      </w:r>
      <w:r>
        <w:rPr>
          <w:rFonts w:hint="eastAsia"/>
          <w:color w:val="auto"/>
          <w:highlight w:val="none"/>
          <w:u w:val="single"/>
          <w:lang w:val="en-US" w:eastAsia="zh-CN"/>
        </w:rPr>
        <w:t xml:space="preserve">      </w:t>
      </w:r>
      <w:r>
        <w:rPr>
          <w:rFonts w:hint="eastAsia"/>
          <w:color w:val="auto"/>
          <w:highlight w:val="none"/>
        </w:rPr>
        <w:t>。(建议安排在投标文件截止时间前15分钟至投标文件截止时间）</w:t>
      </w:r>
    </w:p>
    <w:p>
      <w:pPr>
        <w:adjustRightInd w:val="0"/>
        <w:snapToGrid w:val="0"/>
        <w:spacing w:line="360" w:lineRule="auto"/>
        <w:ind w:firstLine="420" w:firstLineChars="200"/>
        <w:rPr>
          <w:rFonts w:hint="eastAsia" w:ascii="宋体" w:hAnsi="宋体" w:eastAsia="宋体" w:cs="宋体"/>
          <w:color w:val="auto"/>
          <w:szCs w:val="21"/>
          <w:highlight w:val="none"/>
          <w:lang w:eastAsia="zh-CN"/>
        </w:rPr>
      </w:pPr>
      <w:r>
        <w:rPr>
          <w:rFonts w:hint="eastAsia"/>
          <w:color w:val="auto"/>
          <w:highlight w:val="none"/>
        </w:rPr>
        <w:t>5.3 开标开始时间：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年</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月</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日</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时</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分</w:t>
      </w:r>
      <w:r>
        <w:rPr>
          <w:rFonts w:hint="eastAsia" w:ascii="宋体" w:hAnsi="宋体" w:cs="宋体"/>
          <w:color w:val="auto"/>
          <w:highlight w:val="none"/>
          <w:lang w:eastAsia="zh-CN"/>
        </w:rPr>
        <w:t>；</w:t>
      </w:r>
    </w:p>
    <w:p>
      <w:pPr>
        <w:spacing w:line="360" w:lineRule="auto"/>
        <w:ind w:firstLine="420"/>
        <w:rPr>
          <w:color w:val="auto"/>
          <w:szCs w:val="21"/>
          <w:highlight w:val="none"/>
        </w:rPr>
      </w:pPr>
      <w:r>
        <w:rPr>
          <w:color w:val="auto"/>
          <w:szCs w:val="21"/>
          <w:highlight w:val="none"/>
        </w:rPr>
        <w:t>5</w:t>
      </w:r>
      <w:r>
        <w:rPr>
          <w:rFonts w:ascii="宋体" w:hAnsi="宋体"/>
          <w:color w:val="auto"/>
          <w:szCs w:val="21"/>
          <w:highlight w:val="none"/>
        </w:rPr>
        <w:t>.</w:t>
      </w:r>
      <w:r>
        <w:rPr>
          <w:rFonts w:hint="eastAsia"/>
          <w:color w:val="auto"/>
          <w:szCs w:val="21"/>
          <w:highlight w:val="none"/>
        </w:rPr>
        <w:t>4递交投标文件截止时间与开标时间是否有变化，请密切留意招标答疑中的相关信息。递交投标文件截止时间后，开标时间因故推迟的，相关评标信息仍以原递交投标文件截止时间的信息为准。</w:t>
      </w:r>
    </w:p>
    <w:p>
      <w:pPr>
        <w:spacing w:line="360" w:lineRule="auto"/>
        <w:ind w:firstLine="420"/>
        <w:rPr>
          <w:color w:val="auto"/>
          <w:highlight w:val="none"/>
        </w:rPr>
      </w:pPr>
      <w:r>
        <w:rPr>
          <w:rFonts w:hint="eastAsia"/>
          <w:color w:val="auto"/>
          <w:highlight w:val="none"/>
        </w:rPr>
        <w:t>5.5投标人通过电子交易平台递交电子投标文件。投标人应当在投标截止时间前，登录电子交易平台网站办理网上投标登记手续，并</w:t>
      </w:r>
      <w:r>
        <w:rPr>
          <w:color w:val="auto"/>
          <w:highlight w:val="none"/>
        </w:rPr>
        <w:t>通过</w:t>
      </w:r>
      <w:r>
        <w:rPr>
          <w:rFonts w:hint="eastAsia"/>
          <w:color w:val="auto"/>
          <w:highlight w:val="none"/>
        </w:rPr>
        <w:t>互联网</w:t>
      </w:r>
      <w:r>
        <w:rPr>
          <w:color w:val="auto"/>
          <w:highlight w:val="none"/>
        </w:rPr>
        <w:t>使用</w:t>
      </w:r>
      <w:r>
        <w:rPr>
          <w:rFonts w:hint="eastAsia"/>
          <w:color w:val="auto"/>
          <w:highlight w:val="none"/>
        </w:rPr>
        <w:t>CA数字证书登录“电子交易平台”，选择所投标段将</w:t>
      </w:r>
      <w:r>
        <w:rPr>
          <w:rFonts w:hint="eastAsia"/>
          <w:b/>
          <w:color w:val="auto"/>
          <w:highlight w:val="none"/>
        </w:rPr>
        <w:t>加密的电子投标文件</w:t>
      </w:r>
      <w:r>
        <w:rPr>
          <w:rFonts w:hint="eastAsia"/>
          <w:color w:val="auto"/>
          <w:highlight w:val="none"/>
        </w:rPr>
        <w:t>上传（按照电子交易平台的相关指南进行操作。详见：</w:t>
      </w:r>
      <w:r>
        <w:rPr>
          <w:rFonts w:hint="eastAsia"/>
          <w:color w:val="auto"/>
          <w:highlight w:val="none"/>
          <w:u w:val="single"/>
          <w:lang w:val="en-US" w:eastAsia="zh-CN"/>
        </w:rPr>
        <w:t xml:space="preserve">     </w:t>
      </w:r>
      <w:r>
        <w:rPr>
          <w:rFonts w:hint="eastAsia"/>
          <w:color w:val="auto"/>
          <w:highlight w:val="none"/>
        </w:rPr>
        <w:t>）。投标人完成投标文件上传后，“</w:t>
      </w:r>
      <w:r>
        <w:rPr>
          <w:color w:val="auto"/>
          <w:highlight w:val="none"/>
        </w:rPr>
        <w:t>电子</w:t>
      </w:r>
      <w:r>
        <w:rPr>
          <w:rFonts w:hint="eastAsia"/>
          <w:color w:val="auto"/>
          <w:highlight w:val="none"/>
        </w:rPr>
        <w:t>交易平台”即时向投标人发出</w:t>
      </w:r>
      <w:r>
        <w:rPr>
          <w:color w:val="auto"/>
          <w:highlight w:val="none"/>
        </w:rPr>
        <w:t>电子签收凭证</w:t>
      </w:r>
      <w:r>
        <w:rPr>
          <w:rFonts w:hint="eastAsia"/>
          <w:color w:val="auto"/>
          <w:highlight w:val="none"/>
        </w:rPr>
        <w:t>，递交时间以</w:t>
      </w:r>
      <w:r>
        <w:rPr>
          <w:color w:val="auto"/>
          <w:highlight w:val="none"/>
        </w:rPr>
        <w:t>电子签收凭证</w:t>
      </w:r>
      <w:r>
        <w:rPr>
          <w:rFonts w:hint="eastAsia"/>
          <w:color w:val="auto"/>
          <w:highlight w:val="none"/>
        </w:rPr>
        <w:t>载明的传输完成时间为准。逾</w:t>
      </w:r>
      <w:r>
        <w:rPr>
          <w:color w:val="auto"/>
          <w:highlight w:val="none"/>
        </w:rPr>
        <w:t>期未完成上传</w:t>
      </w:r>
      <w:r>
        <w:rPr>
          <w:rFonts w:hint="eastAsia"/>
          <w:color w:val="auto"/>
          <w:highlight w:val="none"/>
        </w:rPr>
        <w:t>或未加密的</w:t>
      </w:r>
      <w:r>
        <w:rPr>
          <w:color w:val="auto"/>
          <w:highlight w:val="none"/>
        </w:rPr>
        <w:t>电子</w:t>
      </w:r>
      <w:r>
        <w:rPr>
          <w:rFonts w:hint="eastAsia"/>
          <w:color w:val="auto"/>
          <w:highlight w:val="none"/>
        </w:rPr>
        <w:t>投标文件</w:t>
      </w:r>
      <w:r>
        <w:rPr>
          <w:color w:val="auto"/>
          <w:highlight w:val="none"/>
        </w:rPr>
        <w:t>，招标人</w:t>
      </w:r>
      <w:r>
        <w:rPr>
          <w:rFonts w:hint="eastAsia"/>
          <w:color w:val="auto"/>
          <w:highlight w:val="none"/>
        </w:rPr>
        <w:t>（“</w:t>
      </w:r>
      <w:r>
        <w:rPr>
          <w:color w:val="auto"/>
          <w:highlight w:val="none"/>
        </w:rPr>
        <w:t>电子</w:t>
      </w:r>
      <w:r>
        <w:rPr>
          <w:rFonts w:hint="eastAsia"/>
          <w:color w:val="auto"/>
          <w:highlight w:val="none"/>
        </w:rPr>
        <w:t>交易平台”）</w:t>
      </w:r>
      <w:r>
        <w:rPr>
          <w:color w:val="auto"/>
          <w:highlight w:val="none"/>
        </w:rPr>
        <w:t>将拒收。</w:t>
      </w:r>
    </w:p>
    <w:p>
      <w:pPr>
        <w:pStyle w:val="20"/>
        <w:spacing w:before="120" w:afterLines="50"/>
        <w:outlineLvl w:val="2"/>
        <w:rPr>
          <w:rFonts w:hint="eastAsia"/>
          <w:color w:val="auto"/>
          <w:highlight w:val="none"/>
        </w:rPr>
      </w:pPr>
      <w:bookmarkStart w:id="276" w:name="_Toc20296"/>
      <w:bookmarkStart w:id="277" w:name="_Toc7425"/>
      <w:bookmarkStart w:id="278" w:name="_Toc8905"/>
      <w:bookmarkStart w:id="279" w:name="_Toc1141291471"/>
      <w:bookmarkStart w:id="280" w:name="_Toc19459"/>
      <w:bookmarkStart w:id="281" w:name="_Toc1646268731"/>
      <w:bookmarkStart w:id="282" w:name="_Toc20615"/>
      <w:bookmarkStart w:id="283" w:name="_Toc10439"/>
      <w:r>
        <w:rPr>
          <w:rFonts w:hint="eastAsia"/>
          <w:color w:val="auto"/>
          <w:highlight w:val="none"/>
        </w:rPr>
        <w:t>6.投标相关事宜</w:t>
      </w:r>
      <w:bookmarkEnd w:id="276"/>
      <w:bookmarkEnd w:id="277"/>
      <w:bookmarkEnd w:id="278"/>
      <w:bookmarkEnd w:id="279"/>
      <w:bookmarkEnd w:id="280"/>
      <w:bookmarkEnd w:id="281"/>
      <w:bookmarkEnd w:id="282"/>
      <w:bookmarkEnd w:id="283"/>
    </w:p>
    <w:p>
      <w:pPr>
        <w:spacing w:afterLines="50" w:line="460" w:lineRule="exact"/>
        <w:ind w:firstLine="437"/>
        <w:rPr>
          <w:rFonts w:hint="default" w:eastAsia="宋体"/>
          <w:color w:val="auto"/>
          <w:highlight w:val="none"/>
          <w:u w:val="single"/>
          <w:lang w:val="en-US" w:eastAsia="zh-CN"/>
        </w:rPr>
      </w:pPr>
      <w:r>
        <w:rPr>
          <w:rFonts w:hint="eastAsia"/>
          <w:color w:val="auto"/>
          <w:highlight w:val="none"/>
          <w:u w:val="single"/>
          <w:lang w:val="en-US" w:eastAsia="zh-CN"/>
        </w:rPr>
        <w:t xml:space="preserve">          。</w:t>
      </w:r>
    </w:p>
    <w:p>
      <w:pPr>
        <w:pStyle w:val="20"/>
        <w:spacing w:before="120" w:afterLines="50"/>
        <w:outlineLvl w:val="2"/>
        <w:rPr>
          <w:rFonts w:hint="eastAsia"/>
          <w:color w:val="auto"/>
          <w:highlight w:val="none"/>
        </w:rPr>
      </w:pPr>
      <w:bookmarkStart w:id="284" w:name="_Toc32556"/>
      <w:bookmarkStart w:id="285" w:name="_Toc8755"/>
      <w:bookmarkStart w:id="286" w:name="_Toc2332"/>
      <w:bookmarkStart w:id="287" w:name="_Toc3119"/>
      <w:bookmarkStart w:id="288" w:name="_Toc1306397746"/>
      <w:bookmarkStart w:id="289" w:name="_Toc2574"/>
      <w:bookmarkStart w:id="290" w:name="_Toc648863121"/>
      <w:bookmarkStart w:id="291" w:name="_Toc32253"/>
      <w:r>
        <w:rPr>
          <w:rFonts w:hint="eastAsia"/>
          <w:color w:val="auto"/>
          <w:highlight w:val="none"/>
        </w:rPr>
        <w:t>7.资格审查方式及评标办法</w:t>
      </w:r>
      <w:bookmarkEnd w:id="284"/>
      <w:bookmarkEnd w:id="285"/>
      <w:bookmarkEnd w:id="286"/>
      <w:bookmarkEnd w:id="287"/>
      <w:bookmarkEnd w:id="288"/>
      <w:bookmarkEnd w:id="289"/>
      <w:bookmarkEnd w:id="290"/>
      <w:bookmarkEnd w:id="291"/>
    </w:p>
    <w:p>
      <w:pPr>
        <w:spacing w:afterLines="50" w:line="460" w:lineRule="exact"/>
        <w:ind w:firstLine="437"/>
        <w:rPr>
          <w:color w:val="auto"/>
          <w:highlight w:val="none"/>
        </w:rPr>
      </w:pPr>
      <w:r>
        <w:rPr>
          <w:rFonts w:hint="eastAsia"/>
          <w:color w:val="auto"/>
          <w:highlight w:val="none"/>
        </w:rPr>
        <w:t>7.1本次招标采用资格后审方式，由评标委员会负责资格审查</w:t>
      </w:r>
      <w:r>
        <w:rPr>
          <w:rFonts w:hint="eastAsia"/>
          <w:color w:val="auto"/>
          <w:highlight w:val="none"/>
          <w:lang w:eastAsia="zh-CN"/>
        </w:rPr>
        <w:t>。</w:t>
      </w:r>
      <w:r>
        <w:rPr>
          <w:rFonts w:hint="eastAsia"/>
          <w:color w:val="auto"/>
          <w:highlight w:val="none"/>
        </w:rPr>
        <w:t>满足资格审查合格条件的投标人不足3名或通过有效性审查的投标人不足3名时为招标失败。招标人分析招标失败原因，修正招标方案，报有关管理部门核准后，重新组织招标。</w:t>
      </w:r>
    </w:p>
    <w:p>
      <w:pPr>
        <w:spacing w:afterLines="50" w:line="460" w:lineRule="exact"/>
        <w:ind w:firstLine="437"/>
        <w:rPr>
          <w:color w:val="auto"/>
          <w:highlight w:val="none"/>
        </w:rPr>
      </w:pPr>
      <w:r>
        <w:rPr>
          <w:rFonts w:hint="eastAsia"/>
          <w:color w:val="auto"/>
          <w:highlight w:val="none"/>
        </w:rPr>
        <w:t>7.2本次招标评标办法采用</w:t>
      </w:r>
      <w:r>
        <w:rPr>
          <w:rFonts w:hint="eastAsia"/>
          <w:color w:val="auto"/>
          <w:highlight w:val="none"/>
          <w:u w:val="single"/>
          <w:lang w:val="en-US" w:eastAsia="zh-CN"/>
        </w:rPr>
        <w:t>综合评分法</w:t>
      </w:r>
      <w:r>
        <w:rPr>
          <w:rFonts w:hint="eastAsia"/>
          <w:color w:val="auto"/>
          <w:highlight w:val="none"/>
        </w:rPr>
        <w:t>。</w:t>
      </w:r>
    </w:p>
    <w:bookmarkEnd w:id="275"/>
    <w:p>
      <w:pPr>
        <w:pStyle w:val="20"/>
        <w:numPr>
          <w:ilvl w:val="0"/>
          <w:numId w:val="2"/>
        </w:numPr>
        <w:spacing w:before="120" w:afterLines="50"/>
        <w:outlineLvl w:val="2"/>
        <w:rPr>
          <w:rFonts w:hint="eastAsia"/>
          <w:color w:val="auto"/>
          <w:highlight w:val="none"/>
          <w:lang w:val="en-US" w:eastAsia="zh-CN"/>
        </w:rPr>
      </w:pPr>
      <w:bookmarkStart w:id="292" w:name="_Toc9512"/>
      <w:r>
        <w:rPr>
          <w:rFonts w:hint="eastAsia"/>
          <w:color w:val="auto"/>
          <w:highlight w:val="none"/>
          <w:lang w:val="en-US" w:eastAsia="zh-CN"/>
        </w:rPr>
        <w:t>异议方式</w:t>
      </w:r>
      <w:bookmarkEnd w:id="292"/>
    </w:p>
    <w:p>
      <w:pPr>
        <w:pStyle w:val="20"/>
        <w:numPr>
          <w:ilvl w:val="0"/>
          <w:numId w:val="0"/>
        </w:numPr>
        <w:spacing w:before="120" w:afterLines="50"/>
        <w:ind w:firstLine="422" w:firstLineChars="200"/>
        <w:outlineLvl w:val="9"/>
        <w:rPr>
          <w:rFonts w:hint="eastAsia"/>
          <w:color w:val="auto"/>
          <w:highlight w:val="none"/>
        </w:rPr>
      </w:pPr>
      <w:bookmarkStart w:id="293" w:name="_Toc31615"/>
      <w:r>
        <w:rPr>
          <w:rFonts w:hint="eastAsia"/>
          <w:color w:val="auto"/>
          <w:sz w:val="21"/>
          <w:szCs w:val="15"/>
          <w:highlight w:val="none"/>
        </w:rPr>
        <w:t>潜在投标人或利害关系人对本招标公告及招标文件有异议的，向招标人书面提出。</w:t>
      </w:r>
      <w:bookmarkEnd w:id="293"/>
    </w:p>
    <w:p>
      <w:pPr>
        <w:pStyle w:val="20"/>
        <w:spacing w:before="120" w:afterLines="50"/>
        <w:ind w:firstLine="422" w:firstLineChars="200"/>
        <w:outlineLvl w:val="9"/>
        <w:rPr>
          <w:rFonts w:hint="default" w:eastAsia="宋体"/>
          <w:color w:val="auto"/>
          <w:sz w:val="21"/>
          <w:szCs w:val="15"/>
          <w:highlight w:val="none"/>
          <w:u w:val="single"/>
          <w:lang w:val="en-US" w:eastAsia="zh-CN"/>
        </w:rPr>
      </w:pPr>
      <w:bookmarkStart w:id="294" w:name="_Toc5179"/>
      <w:r>
        <w:rPr>
          <w:rFonts w:hint="eastAsia"/>
          <w:color w:val="auto"/>
          <w:sz w:val="21"/>
          <w:szCs w:val="15"/>
          <w:highlight w:val="none"/>
        </w:rPr>
        <w:t>异议受理部门：</w:t>
      </w:r>
      <w:bookmarkEnd w:id="294"/>
      <w:r>
        <w:rPr>
          <w:rFonts w:hint="eastAsia"/>
          <w:color w:val="auto"/>
          <w:sz w:val="21"/>
          <w:szCs w:val="15"/>
          <w:highlight w:val="none"/>
          <w:u w:val="single"/>
          <w:lang w:val="en-US" w:eastAsia="zh-CN"/>
        </w:rPr>
        <w:t xml:space="preserve">             </w:t>
      </w:r>
    </w:p>
    <w:p>
      <w:pPr>
        <w:pStyle w:val="20"/>
        <w:spacing w:before="120" w:afterLines="50"/>
        <w:ind w:firstLine="422" w:firstLineChars="200"/>
        <w:outlineLvl w:val="9"/>
        <w:rPr>
          <w:rFonts w:hint="default" w:eastAsia="宋体"/>
          <w:color w:val="auto"/>
          <w:sz w:val="21"/>
          <w:szCs w:val="15"/>
          <w:highlight w:val="none"/>
          <w:u w:val="single"/>
          <w:lang w:val="en-US" w:eastAsia="zh-CN"/>
        </w:rPr>
      </w:pPr>
      <w:bookmarkStart w:id="295" w:name="_Toc32435"/>
      <w:r>
        <w:rPr>
          <w:rFonts w:hint="eastAsia"/>
          <w:color w:val="auto"/>
          <w:sz w:val="21"/>
          <w:szCs w:val="15"/>
          <w:highlight w:val="none"/>
        </w:rPr>
        <w:t>异议受理电话：</w:t>
      </w:r>
      <w:bookmarkEnd w:id="295"/>
      <w:r>
        <w:rPr>
          <w:rFonts w:hint="eastAsia"/>
          <w:color w:val="auto"/>
          <w:sz w:val="21"/>
          <w:szCs w:val="15"/>
          <w:highlight w:val="none"/>
          <w:u w:val="single"/>
          <w:lang w:val="en-US" w:eastAsia="zh-CN"/>
        </w:rPr>
        <w:t xml:space="preserve">             </w:t>
      </w:r>
    </w:p>
    <w:p>
      <w:pPr>
        <w:pStyle w:val="20"/>
        <w:spacing w:before="120" w:afterLines="50"/>
        <w:ind w:firstLine="422" w:firstLineChars="200"/>
        <w:outlineLvl w:val="9"/>
        <w:rPr>
          <w:rFonts w:hint="default" w:eastAsia="宋体"/>
          <w:color w:val="auto"/>
          <w:sz w:val="21"/>
          <w:szCs w:val="15"/>
          <w:highlight w:val="none"/>
          <w:u w:val="single"/>
          <w:lang w:val="en-US" w:eastAsia="zh-CN"/>
        </w:rPr>
      </w:pPr>
      <w:bookmarkStart w:id="296" w:name="_Toc18804"/>
      <w:r>
        <w:rPr>
          <w:rFonts w:hint="eastAsia"/>
          <w:color w:val="auto"/>
          <w:sz w:val="21"/>
          <w:szCs w:val="15"/>
          <w:highlight w:val="none"/>
        </w:rPr>
        <w:t>地址：</w:t>
      </w:r>
      <w:bookmarkEnd w:id="296"/>
      <w:r>
        <w:rPr>
          <w:rFonts w:hint="eastAsia"/>
          <w:color w:val="auto"/>
          <w:sz w:val="21"/>
          <w:szCs w:val="15"/>
          <w:highlight w:val="none"/>
          <w:u w:val="single"/>
          <w:lang w:val="en-US" w:eastAsia="zh-CN"/>
        </w:rPr>
        <w:t xml:space="preserve">             </w:t>
      </w:r>
    </w:p>
    <w:p>
      <w:pPr>
        <w:pStyle w:val="20"/>
        <w:spacing w:before="120" w:afterLines="50"/>
        <w:ind w:firstLine="422" w:firstLineChars="200"/>
        <w:outlineLvl w:val="9"/>
        <w:rPr>
          <w:color w:val="auto"/>
          <w:sz w:val="21"/>
          <w:szCs w:val="15"/>
          <w:highlight w:val="none"/>
        </w:rPr>
      </w:pPr>
      <w:bookmarkStart w:id="297" w:name="_Toc4642"/>
      <w:r>
        <w:rPr>
          <w:rFonts w:hint="eastAsia"/>
          <w:color w:val="auto"/>
          <w:sz w:val="21"/>
          <w:szCs w:val="15"/>
          <w:highlight w:val="none"/>
        </w:rPr>
        <w:t>注：潜在投标人或利害关系人可以通过线下或线上的形式提出异议。线上提出异议的，应通过电子交易平台提交，招标人也应通过电子交易平台答复线上提出的异议。具体按照电子交易平台相关指南进行操作。作出答复前，应当暂停招标投标活动。</w:t>
      </w:r>
      <w:bookmarkEnd w:id="297"/>
    </w:p>
    <w:p>
      <w:pPr>
        <w:pStyle w:val="20"/>
        <w:spacing w:before="120" w:afterLines="50"/>
        <w:outlineLvl w:val="2"/>
        <w:rPr>
          <w:rFonts w:hint="eastAsia"/>
          <w:color w:val="auto"/>
          <w:highlight w:val="none"/>
        </w:rPr>
      </w:pPr>
      <w:bookmarkStart w:id="298" w:name="_Toc9980"/>
      <w:r>
        <w:rPr>
          <w:rFonts w:hint="eastAsia"/>
          <w:color w:val="auto"/>
          <w:highlight w:val="none"/>
          <w:lang w:val="en-US" w:eastAsia="zh-CN"/>
        </w:rPr>
        <w:t>9</w:t>
      </w:r>
      <w:r>
        <w:rPr>
          <w:rFonts w:hint="eastAsia"/>
          <w:color w:val="auto"/>
          <w:highlight w:val="none"/>
        </w:rPr>
        <w:t>.联系方式</w:t>
      </w:r>
      <w:bookmarkEnd w:id="298"/>
    </w:p>
    <w:p>
      <w:pPr>
        <w:topLinePunct/>
        <w:spacing w:line="400" w:lineRule="exact"/>
        <w:ind w:firstLine="420" w:firstLineChars="200"/>
        <w:rPr>
          <w:rFonts w:ascii="宋体" w:hAnsi="宋体" w:cs="宋体"/>
          <w:color w:val="auto"/>
          <w:szCs w:val="21"/>
          <w:highlight w:val="none"/>
        </w:rPr>
      </w:pPr>
    </w:p>
    <w:p>
      <w:pPr>
        <w:topLinePunct/>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招 标 人：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招标代理机构：</w:t>
      </w:r>
    </w:p>
    <w:p>
      <w:pPr>
        <w:topLinePunct/>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地    址：</w:t>
      </w:r>
      <w:r>
        <w:rPr>
          <w:rFonts w:hint="eastAsia" w:ascii="宋体" w:hAnsi="宋体" w:cs="宋体"/>
          <w:color w:val="auto"/>
          <w:szCs w:val="21"/>
          <w:highlight w:val="none"/>
        </w:rPr>
        <w:tab/>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w:t>
      </w:r>
    </w:p>
    <w:p>
      <w:pPr>
        <w:topLinePunct/>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邮    编：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邮    编：</w:t>
      </w:r>
    </w:p>
    <w:p>
      <w:pPr>
        <w:topLinePunct/>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联 系 人：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联 系 人：</w:t>
      </w:r>
    </w:p>
    <w:p>
      <w:pPr>
        <w:topLinePunct/>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电    话：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电    话：</w:t>
      </w:r>
    </w:p>
    <w:p>
      <w:pPr>
        <w:topLinePunct/>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传    真：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传    真：</w:t>
      </w:r>
    </w:p>
    <w:p>
      <w:pPr>
        <w:topLinePunct/>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电子邮件：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电子邮件：</w:t>
      </w:r>
    </w:p>
    <w:p>
      <w:pPr>
        <w:topLinePunct/>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网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网    址：</w:t>
      </w:r>
    </w:p>
    <w:p>
      <w:pPr>
        <w:spacing w:line="400" w:lineRule="exact"/>
        <w:rPr>
          <w:rFonts w:ascii="宋体" w:hAnsi="宋体" w:cs="宋体"/>
          <w:color w:val="auto"/>
          <w:szCs w:val="21"/>
          <w:highlight w:val="none"/>
        </w:rPr>
      </w:pPr>
    </w:p>
    <w:p>
      <w:pPr>
        <w:pStyle w:val="29"/>
        <w:rPr>
          <w:color w:val="auto"/>
          <w:highlight w:val="none"/>
        </w:rPr>
      </w:pPr>
    </w:p>
    <w:p>
      <w:pPr>
        <w:spacing w:before="1" w:line="204" w:lineRule="auto"/>
        <w:ind w:firstLine="378" w:firstLineChars="200"/>
        <w:rPr>
          <w:rFonts w:ascii="宋体" w:hAnsi="宋体" w:cs="宋体"/>
          <w:color w:val="auto"/>
          <w:spacing w:val="-23"/>
          <w:w w:val="98"/>
          <w:sz w:val="24"/>
          <w:highlight w:val="none"/>
        </w:rPr>
      </w:pPr>
    </w:p>
    <w:p>
      <w:pPr>
        <w:topLinePunct/>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招标监督机构：</w:t>
      </w:r>
    </w:p>
    <w:p>
      <w:pPr>
        <w:topLinePunct/>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监督电话：</w:t>
      </w:r>
    </w:p>
    <w:p>
      <w:pPr>
        <w:topLinePunct/>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联系地址：</w:t>
      </w:r>
    </w:p>
    <w:p>
      <w:pPr>
        <w:spacing w:before="1" w:line="204" w:lineRule="auto"/>
        <w:ind w:firstLine="378" w:firstLineChars="200"/>
        <w:rPr>
          <w:rFonts w:ascii="宋体" w:hAnsi="宋体" w:cs="宋体"/>
          <w:color w:val="auto"/>
          <w:spacing w:val="-23"/>
          <w:w w:val="98"/>
          <w:sz w:val="24"/>
          <w:highlight w:val="none"/>
        </w:rPr>
      </w:pPr>
    </w:p>
    <w:p>
      <w:pPr>
        <w:pStyle w:val="29"/>
        <w:rPr>
          <w:color w:val="auto"/>
          <w:highlight w:val="none"/>
        </w:rPr>
      </w:pPr>
    </w:p>
    <w:p>
      <w:pPr>
        <w:pStyle w:val="29"/>
        <w:rPr>
          <w:color w:val="auto"/>
          <w:highlight w:val="none"/>
        </w:rPr>
      </w:pPr>
    </w:p>
    <w:p>
      <w:pPr>
        <w:pStyle w:val="29"/>
        <w:rPr>
          <w:color w:val="auto"/>
          <w:highlight w:val="none"/>
        </w:rPr>
      </w:pPr>
    </w:p>
    <w:p>
      <w:pPr>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年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w:t>
      </w:r>
    </w:p>
    <w:p>
      <w:pPr>
        <w:spacing w:line="400" w:lineRule="exact"/>
        <w:rPr>
          <w:rFonts w:hint="eastAsia" w:ascii="宋体" w:hAnsi="宋体" w:cs="宋体"/>
          <w:color w:val="auto"/>
          <w:szCs w:val="21"/>
          <w:highlight w:val="none"/>
        </w:rPr>
      </w:pPr>
    </w:p>
    <w:p>
      <w:pPr>
        <w:spacing w:line="400" w:lineRule="exact"/>
        <w:rPr>
          <w:rFonts w:ascii="宋体" w:hAnsi="宋体" w:cs="宋体"/>
          <w:color w:val="auto"/>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945" w:hanging="900" w:hangingChars="450"/>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备注：1. 投标人拟派的项目负责人（建造师）（下同）不得同时担任两个及以上建设工程项目的项目负责人（项目负责人）。存在下列情形之一的，视为未担任其他在建工程项目的项目负责人：（1）同一工程相邻分段发包或分期施工的;（2）合同约定的工程验收合格的；（3）因非承包方原因致使工程项目停工超过120天（含），经建设单位同意的。</w:t>
      </w:r>
    </w:p>
    <w:p>
      <w:pPr>
        <w:keepNext w:val="0"/>
        <w:keepLines w:val="0"/>
        <w:pageBreakBefore w:val="0"/>
        <w:widowControl w:val="0"/>
        <w:kinsoku/>
        <w:wordWrap/>
        <w:overflowPunct/>
        <w:topLinePunct w:val="0"/>
        <w:autoSpaceDE/>
        <w:autoSpaceDN/>
        <w:bidi w:val="0"/>
        <w:adjustRightInd/>
        <w:snapToGrid/>
        <w:spacing w:line="240" w:lineRule="auto"/>
        <w:ind w:left="898" w:leftChars="285" w:hanging="300" w:hangingChars="150"/>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 “在所投标段免费下载招标文件”是指投标人拟参加某标段投标的，应按规定下载该标段的招标文件。投标人的下载活动“电子交易平台”将予以记录，并可在“下载情况查询”中查看，该记录作为投标人是否下载该标段招标文件的依据。</w:t>
      </w:r>
    </w:p>
    <w:p>
      <w:pPr>
        <w:keepNext w:val="0"/>
        <w:keepLines w:val="0"/>
        <w:pageBreakBefore w:val="0"/>
        <w:widowControl w:val="0"/>
        <w:kinsoku/>
        <w:wordWrap/>
        <w:overflowPunct/>
        <w:topLinePunct w:val="0"/>
        <w:autoSpaceDE/>
        <w:autoSpaceDN/>
        <w:bidi w:val="0"/>
        <w:adjustRightInd/>
        <w:snapToGrid/>
        <w:spacing w:line="240" w:lineRule="auto"/>
        <w:ind w:left="898" w:leftChars="285" w:hanging="300" w:hangingChars="150"/>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3. 招标人在投标邀请书中载明的给予投标人确认参加投标的时间不应少于5日，且确认参加投标的截止时间应当在下载招标文件截止时间前。</w:t>
      </w:r>
    </w:p>
    <w:p>
      <w:pPr>
        <w:spacing w:line="400" w:lineRule="exact"/>
        <w:rPr>
          <w:rFonts w:ascii="宋体" w:hAnsi="宋体" w:cs="宋体"/>
          <w:color w:val="auto"/>
          <w:szCs w:val="21"/>
          <w:highlight w:val="none"/>
          <w:u w:val="single"/>
        </w:rPr>
      </w:pPr>
    </w:p>
    <w:p>
      <w:pPr>
        <w:pStyle w:val="30"/>
        <w:outlineLvl w:val="9"/>
        <w:rPr>
          <w:color w:val="auto"/>
          <w:highlight w:val="none"/>
        </w:rPr>
      </w:pPr>
    </w:p>
    <w:p>
      <w:pPr>
        <w:rPr>
          <w:color w:val="auto"/>
          <w:highlight w:val="none"/>
        </w:rPr>
      </w:pPr>
      <w:r>
        <w:rPr>
          <w:color w:val="auto"/>
          <w:highlight w:val="none"/>
        </w:rPr>
        <w:br w:type="page"/>
      </w:r>
    </w:p>
    <w:bookmarkEnd w:id="256"/>
    <w:p>
      <w:pPr>
        <w:pStyle w:val="31"/>
        <w:outlineLvl w:val="1"/>
        <w:rPr>
          <w:color w:val="auto"/>
          <w:highlight w:val="none"/>
        </w:rPr>
      </w:pPr>
      <w:bookmarkStart w:id="299" w:name="_Toc1109874410"/>
      <w:bookmarkStart w:id="300" w:name="_Toc27904"/>
      <w:bookmarkStart w:id="301" w:name="_Toc13135"/>
      <w:bookmarkStart w:id="302" w:name="_Toc5759"/>
      <w:bookmarkStart w:id="303" w:name="_Toc7858"/>
      <w:bookmarkStart w:id="304" w:name="_Toc395709049"/>
      <w:bookmarkStart w:id="305" w:name="_Toc1961498336"/>
      <w:bookmarkStart w:id="306" w:name="_Toc29292"/>
      <w:bookmarkStart w:id="307" w:name="_Toc18454"/>
      <w:bookmarkStart w:id="308" w:name="_Toc387753550"/>
      <w:bookmarkStart w:id="309" w:name="_Toc395709702"/>
      <w:r>
        <w:rPr>
          <w:rFonts w:hint="eastAsia"/>
          <w:color w:val="auto"/>
          <w:highlight w:val="none"/>
          <w:lang w:eastAsia="zh-CN"/>
        </w:rPr>
        <w:t>第二章</w:t>
      </w:r>
      <w:r>
        <w:rPr>
          <w:rFonts w:hint="eastAsia"/>
          <w:color w:val="auto"/>
          <w:highlight w:val="none"/>
        </w:rPr>
        <w:t xml:space="preserve"> 投标人须知</w:t>
      </w:r>
      <w:bookmarkEnd w:id="1"/>
      <w:bookmarkEnd w:id="2"/>
      <w:bookmarkEnd w:id="3"/>
      <w:bookmarkEnd w:id="4"/>
      <w:bookmarkEnd w:id="5"/>
      <w:bookmarkEnd w:id="6"/>
      <w:bookmarkEnd w:id="7"/>
      <w:bookmarkEnd w:id="8"/>
      <w:bookmarkEnd w:id="9"/>
      <w:bookmarkEnd w:id="299"/>
      <w:bookmarkEnd w:id="300"/>
      <w:bookmarkEnd w:id="301"/>
      <w:bookmarkEnd w:id="302"/>
      <w:bookmarkEnd w:id="303"/>
      <w:bookmarkEnd w:id="304"/>
      <w:bookmarkEnd w:id="305"/>
      <w:bookmarkEnd w:id="306"/>
      <w:bookmarkEnd w:id="307"/>
      <w:bookmarkEnd w:id="308"/>
      <w:bookmarkEnd w:id="309"/>
      <w:bookmarkStart w:id="310" w:name="_Toc221950008"/>
    </w:p>
    <w:p>
      <w:pPr>
        <w:rPr>
          <w:color w:val="auto"/>
          <w:highlight w:val="none"/>
        </w:rPr>
      </w:pPr>
    </w:p>
    <w:p>
      <w:pPr>
        <w:spacing w:line="360" w:lineRule="auto"/>
        <w:jc w:val="center"/>
        <w:outlineLvl w:val="2"/>
        <w:rPr>
          <w:rFonts w:ascii="黑体" w:hAnsi="黑体" w:eastAsia="黑体"/>
          <w:color w:val="auto"/>
          <w:sz w:val="28"/>
          <w:szCs w:val="27"/>
          <w:highlight w:val="none"/>
        </w:rPr>
      </w:pPr>
      <w:bookmarkStart w:id="311" w:name="_Toc21787638"/>
      <w:bookmarkStart w:id="312" w:name="_Toc19442"/>
      <w:bookmarkStart w:id="313" w:name="_Toc13160"/>
      <w:bookmarkStart w:id="314" w:name="_Toc12369"/>
      <w:bookmarkStart w:id="315" w:name="_Toc405622286"/>
      <w:bookmarkStart w:id="316" w:name="_Toc2218"/>
      <w:bookmarkStart w:id="317" w:name="_Toc32490"/>
      <w:bookmarkStart w:id="318" w:name="_Toc1112181312"/>
      <w:bookmarkStart w:id="319" w:name="_Toc5477"/>
      <w:r>
        <w:rPr>
          <w:rFonts w:hint="eastAsia" w:ascii="黑体" w:hAnsi="黑体" w:eastAsia="黑体"/>
          <w:color w:val="auto"/>
          <w:sz w:val="28"/>
          <w:szCs w:val="27"/>
          <w:highlight w:val="none"/>
        </w:rPr>
        <w:t>投标</w:t>
      </w:r>
      <w:r>
        <w:rPr>
          <w:rFonts w:hint="eastAsia" w:ascii="黑体" w:hAnsi="黑体" w:eastAsia="黑体"/>
          <w:color w:val="auto"/>
          <w:sz w:val="28"/>
          <w:szCs w:val="27"/>
          <w:highlight w:val="none"/>
          <w:lang w:val="en-US" w:eastAsia="zh-CN"/>
        </w:rPr>
        <w:t>人</w:t>
      </w:r>
      <w:r>
        <w:rPr>
          <w:rFonts w:hint="eastAsia" w:ascii="黑体" w:hAnsi="黑体" w:eastAsia="黑体"/>
          <w:color w:val="auto"/>
          <w:sz w:val="28"/>
          <w:szCs w:val="27"/>
          <w:highlight w:val="none"/>
        </w:rPr>
        <w:t>须知修改表</w:t>
      </w:r>
      <w:bookmarkEnd w:id="311"/>
      <w:bookmarkEnd w:id="312"/>
    </w:p>
    <w:p>
      <w:pPr>
        <w:pStyle w:val="7"/>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本投标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须知使用</w:t>
      </w:r>
      <w:r>
        <w:rPr>
          <w:rFonts w:hint="eastAsia" w:ascii="宋体" w:hAnsi="宋体" w:eastAsia="宋体" w:cs="宋体"/>
          <w:color w:val="auto"/>
          <w:sz w:val="21"/>
          <w:szCs w:val="21"/>
          <w:highlight w:val="none"/>
          <w:lang w:val="en-US" w:eastAsia="zh-CN"/>
        </w:rPr>
        <w:t>本</w:t>
      </w:r>
      <w:r>
        <w:rPr>
          <w:rFonts w:hint="eastAsia" w:ascii="宋体" w:hAnsi="宋体" w:eastAsia="宋体" w:cs="宋体"/>
          <w:color w:val="auto"/>
          <w:sz w:val="21"/>
          <w:szCs w:val="21"/>
          <w:highlight w:val="none"/>
        </w:rPr>
        <w:t>示范文本的投标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须知</w:t>
      </w:r>
      <w:r>
        <w:rPr>
          <w:rFonts w:hint="eastAsia" w:ascii="宋体" w:hAnsi="宋体" w:eastAsia="宋体" w:cs="宋体"/>
          <w:color w:val="auto"/>
          <w:sz w:val="21"/>
          <w:szCs w:val="21"/>
          <w:highlight w:val="none"/>
          <w:lang w:val="en-US" w:eastAsia="zh-CN"/>
        </w:rPr>
        <w:t>通用条款</w:t>
      </w:r>
      <w:r>
        <w:rPr>
          <w:rFonts w:hint="eastAsia" w:ascii="宋体" w:hAnsi="宋体" w:eastAsia="宋体" w:cs="宋体"/>
          <w:color w:val="auto"/>
          <w:sz w:val="21"/>
          <w:szCs w:val="21"/>
          <w:highlight w:val="none"/>
        </w:rPr>
        <w:t>，与该通用条款不同之处，均在本表中列明，并以现文为准，原文不再有效。本</w:t>
      </w:r>
      <w:r>
        <w:rPr>
          <w:rFonts w:hint="eastAsia" w:ascii="宋体" w:hAnsi="宋体" w:eastAsia="宋体" w:cs="宋体"/>
          <w:color w:val="auto"/>
          <w:sz w:val="21"/>
          <w:szCs w:val="21"/>
          <w:highlight w:val="none"/>
          <w:lang w:val="en-US" w:eastAsia="zh-CN"/>
        </w:rPr>
        <w:t>示范文本</w:t>
      </w:r>
      <w:r>
        <w:rPr>
          <w:rFonts w:hint="eastAsia" w:ascii="宋体" w:hAnsi="宋体" w:eastAsia="宋体" w:cs="宋体"/>
          <w:color w:val="auto"/>
          <w:sz w:val="21"/>
          <w:szCs w:val="21"/>
          <w:highlight w:val="none"/>
        </w:rPr>
        <w:t>请投标人自行到</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网站（网址：</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）下载查阅。</w:t>
      </w:r>
    </w:p>
    <w:p>
      <w:pPr>
        <w:spacing w:line="480" w:lineRule="auto"/>
        <w:ind w:firstLine="470" w:firstLineChars="22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             修改类型：增加</w:t>
      </w:r>
    </w:p>
    <w:p>
      <w:pPr>
        <w:pBdr>
          <w:bottom w:val="single" w:color="auto" w:sz="6" w:space="1"/>
        </w:pBdr>
        <w:spacing w:line="480" w:lineRule="auto"/>
        <w:ind w:firstLine="470" w:firstLineChars="22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现文：</w:t>
      </w:r>
    </w:p>
    <w:p>
      <w:pPr>
        <w:spacing w:line="480" w:lineRule="auto"/>
        <w:ind w:firstLine="470" w:firstLineChars="22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             修改类型：删除</w:t>
      </w:r>
    </w:p>
    <w:p>
      <w:pPr>
        <w:pBdr>
          <w:bottom w:val="single" w:color="auto" w:sz="6" w:space="1"/>
        </w:pBdr>
        <w:spacing w:line="480" w:lineRule="auto"/>
        <w:ind w:firstLine="470" w:firstLineChars="22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原文：</w:t>
      </w:r>
    </w:p>
    <w:p>
      <w:pPr>
        <w:spacing w:line="480" w:lineRule="auto"/>
        <w:ind w:firstLine="470" w:firstLineChars="22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修改类型：修改</w:t>
      </w:r>
    </w:p>
    <w:p>
      <w:pPr>
        <w:pBdr>
          <w:bottom w:val="single" w:color="auto" w:sz="6" w:space="1"/>
        </w:pBdr>
        <w:spacing w:line="480" w:lineRule="auto"/>
        <w:ind w:firstLine="470" w:firstLineChars="22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原文：</w:t>
      </w:r>
    </w:p>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注：以上修改，仅限于本范本中有可供选择条款的情形。</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pPr>
        <w:pStyle w:val="20"/>
        <w:spacing w:before="120" w:afterLines="50"/>
        <w:jc w:val="center"/>
        <w:outlineLvl w:val="2"/>
        <w:rPr>
          <w:rFonts w:hint="eastAsia"/>
          <w:color w:val="auto"/>
          <w:highlight w:val="none"/>
        </w:rPr>
      </w:pPr>
      <w:bookmarkStart w:id="320" w:name="_Toc8567"/>
      <w:r>
        <w:rPr>
          <w:rFonts w:hint="eastAsia"/>
          <w:color w:val="auto"/>
          <w:highlight w:val="none"/>
        </w:rPr>
        <w:t>投标人须知前附表</w:t>
      </w:r>
      <w:bookmarkEnd w:id="310"/>
      <w:bookmarkEnd w:id="313"/>
      <w:bookmarkEnd w:id="314"/>
      <w:bookmarkEnd w:id="315"/>
      <w:bookmarkEnd w:id="316"/>
      <w:bookmarkEnd w:id="317"/>
      <w:bookmarkEnd w:id="318"/>
      <w:bookmarkEnd w:id="319"/>
      <w:bookmarkEnd w:id="320"/>
    </w:p>
    <w:tbl>
      <w:tblPr>
        <w:tblStyle w:val="28"/>
        <w:tblW w:w="8748" w:type="dxa"/>
        <w:tblInd w:w="0" w:type="dxa"/>
        <w:tblLayout w:type="fixed"/>
        <w:tblCellMar>
          <w:top w:w="0" w:type="dxa"/>
          <w:left w:w="108" w:type="dxa"/>
          <w:bottom w:w="0" w:type="dxa"/>
          <w:right w:w="108" w:type="dxa"/>
        </w:tblCellMar>
      </w:tblPr>
      <w:tblGrid>
        <w:gridCol w:w="1008"/>
        <w:gridCol w:w="2160"/>
        <w:gridCol w:w="5580"/>
      </w:tblGrid>
      <w:tr>
        <w:tblPrEx>
          <w:tblLayout w:type="fixed"/>
          <w:tblCellMar>
            <w:top w:w="0" w:type="dxa"/>
            <w:left w:w="108" w:type="dxa"/>
            <w:bottom w:w="0" w:type="dxa"/>
            <w:right w:w="108" w:type="dxa"/>
          </w:tblCellMar>
        </w:tblPrEx>
        <w:trPr>
          <w:trHeight w:val="567" w:hRule="atLeast"/>
          <w:tblHeader/>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b/>
                <w:color w:val="auto"/>
                <w:szCs w:val="21"/>
                <w:highlight w:val="none"/>
              </w:rPr>
            </w:pPr>
            <w:bookmarkStart w:id="321" w:name="_Toc221950009"/>
            <w:r>
              <w:rPr>
                <w:rFonts w:hint="eastAsia" w:ascii="宋体" w:hAnsi="宋体" w:cs="宋体"/>
                <w:b/>
                <w:color w:val="auto"/>
                <w:szCs w:val="21"/>
                <w:highlight w:val="none"/>
              </w:rPr>
              <w:t>条款号</w:t>
            </w:r>
            <w:bookmarkEnd w:id="321"/>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b/>
                <w:color w:val="auto"/>
                <w:szCs w:val="21"/>
                <w:highlight w:val="none"/>
              </w:rPr>
            </w:pPr>
            <w:bookmarkStart w:id="322" w:name="_Toc221950010"/>
            <w:r>
              <w:rPr>
                <w:rFonts w:hint="eastAsia" w:ascii="宋体" w:hAnsi="宋体" w:cs="宋体"/>
                <w:b/>
                <w:color w:val="auto"/>
                <w:szCs w:val="21"/>
                <w:highlight w:val="none"/>
              </w:rPr>
              <w:t>条  款  名  称</w:t>
            </w:r>
            <w:bookmarkEnd w:id="322"/>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b/>
                <w:color w:val="auto"/>
                <w:szCs w:val="21"/>
                <w:highlight w:val="none"/>
              </w:rPr>
            </w:pPr>
            <w:bookmarkStart w:id="323" w:name="_Toc221950011"/>
            <w:r>
              <w:rPr>
                <w:rFonts w:hint="eastAsia" w:ascii="宋体" w:hAnsi="宋体" w:cs="宋体"/>
                <w:b/>
                <w:color w:val="auto"/>
                <w:szCs w:val="21"/>
                <w:highlight w:val="none"/>
              </w:rPr>
              <w:t>编  列  内  容</w:t>
            </w:r>
            <w:bookmarkEnd w:id="323"/>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24" w:name="_Toc221950012"/>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2</w:t>
            </w:r>
            <w:bookmarkEnd w:id="324"/>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25" w:name="_Toc221950013"/>
            <w:r>
              <w:rPr>
                <w:rFonts w:hint="eastAsia" w:ascii="宋体" w:hAnsi="宋体" w:cs="宋体"/>
                <w:color w:val="auto"/>
                <w:szCs w:val="21"/>
                <w:highlight w:val="none"/>
              </w:rPr>
              <w:t>招标人</w:t>
            </w:r>
            <w:bookmarkEnd w:id="325"/>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名  称：</w:t>
            </w:r>
            <w:r>
              <w:rPr>
                <w:rFonts w:ascii="宋体" w:hAnsi="宋体" w:cs="宋体"/>
                <w:color w:val="auto"/>
                <w:szCs w:val="21"/>
                <w:highlight w:val="none"/>
              </w:rPr>
              <w:t>（</w:t>
            </w:r>
            <w:r>
              <w:rPr>
                <w:rFonts w:hint="eastAsia"/>
                <w:color w:val="auto"/>
                <w:highlight w:val="none"/>
              </w:rPr>
              <w:t>同招标公告或投标邀请书，下同</w:t>
            </w:r>
            <w:r>
              <w:rPr>
                <w:color w:val="auto"/>
                <w:highlight w:val="none"/>
              </w:rPr>
              <w:t>）</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地  址：</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联系人：</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电  话：</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26" w:name="_Toc221950014"/>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3</w:t>
            </w:r>
            <w:bookmarkEnd w:id="326"/>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27" w:name="_Toc221950015"/>
            <w:r>
              <w:rPr>
                <w:rFonts w:hint="eastAsia" w:ascii="宋体" w:hAnsi="宋体" w:cs="宋体"/>
                <w:color w:val="auto"/>
                <w:szCs w:val="21"/>
                <w:highlight w:val="none"/>
              </w:rPr>
              <w:t>招标代理机构</w:t>
            </w:r>
            <w:bookmarkEnd w:id="327"/>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名  称：</w:t>
            </w:r>
            <w:r>
              <w:rPr>
                <w:rFonts w:ascii="宋体" w:hAnsi="宋体" w:cs="宋体"/>
                <w:color w:val="auto"/>
                <w:szCs w:val="21"/>
                <w:highlight w:val="none"/>
              </w:rPr>
              <w:t>（</w:t>
            </w:r>
            <w:r>
              <w:rPr>
                <w:rFonts w:hint="eastAsia"/>
                <w:color w:val="auto"/>
                <w:highlight w:val="none"/>
              </w:rPr>
              <w:t>同招标公告或投标邀请书，下同</w:t>
            </w:r>
            <w:r>
              <w:rPr>
                <w:color w:val="auto"/>
                <w:highlight w:val="none"/>
              </w:rPr>
              <w:t>）</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地  址：</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联系人：</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电  话：</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28" w:name="_Toc221950016"/>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bookmarkEnd w:id="328"/>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ascii="宋体" w:hAnsi="宋体"/>
                <w:color w:val="auto"/>
                <w:szCs w:val="21"/>
                <w:highlight w:val="none"/>
              </w:rPr>
              <w:t>项目</w:t>
            </w:r>
            <w:r>
              <w:rPr>
                <w:rFonts w:hint="eastAsia" w:ascii="宋体" w:hAnsi="宋体"/>
                <w:color w:val="auto"/>
                <w:szCs w:val="21"/>
                <w:highlight w:val="none"/>
              </w:rPr>
              <w:t>名称</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olor w:val="auto"/>
                <w:szCs w:val="21"/>
                <w:highlight w:val="none"/>
                <w:u w:val="single"/>
              </w:rPr>
            </w:pPr>
            <w:r>
              <w:rPr>
                <w:rFonts w:hint="eastAsia" w:ascii="宋体" w:hAnsi="宋体"/>
                <w:color w:val="auto"/>
                <w:szCs w:val="21"/>
                <w:highlight w:val="none"/>
              </w:rPr>
              <w:t>项目名称：</w:t>
            </w:r>
          </w:p>
          <w:p>
            <w:pPr>
              <w:snapToGrid w:val="0"/>
              <w:spacing w:line="300" w:lineRule="auto"/>
              <w:rPr>
                <w:rFonts w:ascii="宋体" w:hAnsi="宋体" w:cs="宋体"/>
                <w:color w:val="auto"/>
                <w:szCs w:val="21"/>
                <w:highlight w:val="none"/>
              </w:rPr>
            </w:pPr>
            <w:r>
              <w:rPr>
                <w:rFonts w:hint="eastAsia" w:ascii="宋体" w:hAnsi="宋体"/>
                <w:color w:val="auto"/>
                <w:szCs w:val="21"/>
                <w:highlight w:val="none"/>
              </w:rPr>
              <w:t>标段名称</w:t>
            </w:r>
            <w:r>
              <w:rPr>
                <w:rFonts w:hint="eastAsia" w:ascii="宋体" w:hAnsi="宋体"/>
                <w:color w:val="auto"/>
                <w:szCs w:val="21"/>
                <w:highlight w:val="none"/>
                <w:lang w:eastAsia="zh-CN"/>
              </w:rPr>
              <w:t>：</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29" w:name="_Toc221950018"/>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5</w:t>
            </w:r>
            <w:bookmarkEnd w:id="329"/>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0" w:name="_Toc221950019"/>
            <w:r>
              <w:rPr>
                <w:rFonts w:hint="eastAsia" w:ascii="宋体" w:hAnsi="宋体" w:cs="宋体"/>
                <w:color w:val="auto"/>
                <w:szCs w:val="21"/>
                <w:highlight w:val="none"/>
              </w:rPr>
              <w:t>建设地点</w:t>
            </w:r>
            <w:bookmarkEnd w:id="330"/>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1" w:name="_Toc221950020"/>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6</w:t>
            </w:r>
            <w:bookmarkEnd w:id="331"/>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2" w:name="_Toc221950021"/>
            <w:r>
              <w:rPr>
                <w:rFonts w:hint="eastAsia" w:ascii="宋体" w:hAnsi="宋体" w:cs="宋体"/>
                <w:color w:val="auto"/>
                <w:szCs w:val="21"/>
                <w:highlight w:val="none"/>
              </w:rPr>
              <w:t>现场管理机构</w:t>
            </w:r>
            <w:bookmarkEnd w:id="332"/>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3" w:name="_Toc221950022"/>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7</w:t>
            </w:r>
            <w:bookmarkEnd w:id="333"/>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4" w:name="_Toc221950023"/>
            <w:r>
              <w:rPr>
                <w:rFonts w:hint="eastAsia" w:ascii="宋体" w:hAnsi="宋体" w:cs="宋体"/>
                <w:color w:val="auto"/>
                <w:szCs w:val="21"/>
                <w:highlight w:val="none"/>
              </w:rPr>
              <w:t>设计人</w:t>
            </w:r>
            <w:bookmarkEnd w:id="334"/>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5" w:name="_Toc221950024"/>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8</w:t>
            </w:r>
            <w:bookmarkEnd w:id="335"/>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6" w:name="_Toc221950025"/>
            <w:r>
              <w:rPr>
                <w:rFonts w:hint="eastAsia" w:ascii="宋体" w:hAnsi="宋体" w:cs="宋体"/>
                <w:color w:val="auto"/>
                <w:szCs w:val="21"/>
                <w:highlight w:val="none"/>
              </w:rPr>
              <w:t>监理</w:t>
            </w:r>
            <w:bookmarkEnd w:id="336"/>
            <w:r>
              <w:rPr>
                <w:rFonts w:hint="eastAsia" w:ascii="宋体" w:hAnsi="宋体" w:cs="宋体"/>
                <w:color w:val="auto"/>
                <w:szCs w:val="21"/>
                <w:highlight w:val="none"/>
              </w:rPr>
              <w:t>人</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7" w:name="_Toc221950026"/>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9</w:t>
            </w:r>
            <w:bookmarkEnd w:id="337"/>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代建人</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8" w:name="_Toc221950030"/>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1</w:t>
            </w:r>
            <w:bookmarkEnd w:id="338"/>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39" w:name="_Toc221950031"/>
            <w:r>
              <w:rPr>
                <w:rFonts w:hint="eastAsia" w:ascii="宋体" w:hAnsi="宋体" w:cs="宋体"/>
                <w:color w:val="auto"/>
                <w:szCs w:val="21"/>
                <w:highlight w:val="none"/>
              </w:rPr>
              <w:t>资金来源</w:t>
            </w:r>
            <w:bookmarkEnd w:id="339"/>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color w:val="auto"/>
                <w:highlight w:val="none"/>
                <w:u w:val="singl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40" w:name="_Toc221950032"/>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bookmarkEnd w:id="340"/>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41" w:name="_Toc221950033"/>
            <w:r>
              <w:rPr>
                <w:rFonts w:hint="eastAsia" w:ascii="宋体" w:hAnsi="宋体" w:cs="宋体"/>
                <w:color w:val="auto"/>
                <w:szCs w:val="21"/>
                <w:highlight w:val="none"/>
              </w:rPr>
              <w:t>出资比例</w:t>
            </w:r>
            <w:bookmarkEnd w:id="341"/>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42" w:name="_Toc221950034"/>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3</w:t>
            </w:r>
            <w:bookmarkEnd w:id="342"/>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43" w:name="_Toc221950035"/>
            <w:r>
              <w:rPr>
                <w:rFonts w:hint="eastAsia" w:ascii="宋体" w:hAnsi="宋体" w:cs="宋体"/>
                <w:color w:val="auto"/>
                <w:szCs w:val="21"/>
                <w:highlight w:val="none"/>
              </w:rPr>
              <w:t>资金落实情况</w:t>
            </w:r>
            <w:bookmarkEnd w:id="343"/>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44" w:name="_Toc221950036"/>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bookmarkEnd w:id="344"/>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45" w:name="_Toc221950037"/>
            <w:r>
              <w:rPr>
                <w:rFonts w:hint="eastAsia" w:ascii="宋体" w:hAnsi="宋体" w:cs="宋体"/>
                <w:color w:val="auto"/>
                <w:szCs w:val="21"/>
                <w:highlight w:val="none"/>
              </w:rPr>
              <w:t>招标范围</w:t>
            </w:r>
            <w:bookmarkEnd w:id="345"/>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46" w:name="_Toc221950038"/>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2</w:t>
            </w:r>
            <w:bookmarkEnd w:id="346"/>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47" w:name="_Toc221950039"/>
            <w:r>
              <w:rPr>
                <w:rFonts w:hint="eastAsia" w:ascii="宋体" w:hAnsi="宋体" w:cs="宋体"/>
                <w:color w:val="auto"/>
                <w:szCs w:val="21"/>
                <w:highlight w:val="none"/>
              </w:rPr>
              <w:t>计划工期</w:t>
            </w:r>
            <w:bookmarkEnd w:id="347"/>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bookmarkStart w:id="348" w:name="_Toc221950040"/>
            <w:r>
              <w:rPr>
                <w:rFonts w:hint="eastAsia" w:ascii="宋体" w:hAnsi="宋体" w:cs="宋体"/>
                <w:color w:val="auto"/>
                <w:szCs w:val="21"/>
                <w:highlight w:val="none"/>
              </w:rPr>
              <w:t>计划工期：</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日历天</w:t>
            </w:r>
            <w:bookmarkEnd w:id="348"/>
          </w:p>
          <w:p>
            <w:pPr>
              <w:snapToGrid w:val="0"/>
              <w:spacing w:line="300" w:lineRule="auto"/>
              <w:rPr>
                <w:rFonts w:ascii="宋体" w:hAnsi="宋体" w:cs="宋体"/>
                <w:color w:val="auto"/>
                <w:szCs w:val="21"/>
                <w:highlight w:val="none"/>
              </w:rPr>
            </w:pPr>
            <w:bookmarkStart w:id="349" w:name="_Toc221950041"/>
            <w:r>
              <w:rPr>
                <w:rFonts w:hint="eastAsia" w:ascii="宋体" w:hAnsi="宋体" w:cs="宋体"/>
                <w:color w:val="auto"/>
                <w:szCs w:val="21"/>
                <w:highlight w:val="none"/>
              </w:rPr>
              <w:t>计划开工日期：</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w:t>
            </w:r>
            <w:bookmarkEnd w:id="349"/>
          </w:p>
          <w:p>
            <w:pPr>
              <w:snapToGrid w:val="0"/>
              <w:spacing w:line="300" w:lineRule="auto"/>
              <w:rPr>
                <w:rFonts w:ascii="宋体" w:hAnsi="宋体" w:cs="宋体"/>
                <w:color w:val="auto"/>
                <w:szCs w:val="21"/>
                <w:highlight w:val="none"/>
              </w:rPr>
            </w:pPr>
            <w:bookmarkStart w:id="350" w:name="_Toc221950042"/>
            <w:r>
              <w:rPr>
                <w:rFonts w:hint="eastAsia" w:ascii="宋体" w:hAnsi="宋体" w:cs="宋体"/>
                <w:color w:val="auto"/>
                <w:szCs w:val="21"/>
                <w:highlight w:val="none"/>
              </w:rPr>
              <w:t>计划完工日期：</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年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w:t>
            </w:r>
            <w:bookmarkEnd w:id="350"/>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51" w:name="_Toc221950043"/>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3</w:t>
            </w:r>
            <w:bookmarkEnd w:id="351"/>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52" w:name="_Toc221950044"/>
            <w:r>
              <w:rPr>
                <w:rFonts w:hint="eastAsia" w:ascii="宋体" w:hAnsi="宋体" w:cs="宋体"/>
                <w:color w:val="auto"/>
                <w:szCs w:val="21"/>
                <w:highlight w:val="none"/>
              </w:rPr>
              <w:t>质量要求</w:t>
            </w:r>
            <w:bookmarkEnd w:id="352"/>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 xml:space="preserve">详见第七章“技术标准和要求” </w:t>
            </w:r>
          </w:p>
        </w:tc>
      </w:tr>
      <w:tr>
        <w:tblPrEx>
          <w:tblLayout w:type="fixed"/>
          <w:tblCellMar>
            <w:top w:w="0" w:type="dxa"/>
            <w:left w:w="108" w:type="dxa"/>
            <w:bottom w:w="0" w:type="dxa"/>
            <w:right w:w="108" w:type="dxa"/>
          </w:tblCellMar>
        </w:tblPrEx>
        <w:trPr>
          <w:trHeight w:val="1958"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53" w:name="_Toc221950045"/>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bookmarkEnd w:id="353"/>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54" w:name="_Toc221950046"/>
            <w:r>
              <w:rPr>
                <w:rFonts w:hint="eastAsia" w:ascii="宋体" w:hAnsi="宋体" w:cs="宋体"/>
                <w:color w:val="auto"/>
                <w:szCs w:val="21"/>
                <w:highlight w:val="none"/>
              </w:rPr>
              <w:t>投标人资质条件、能力、信誉</w:t>
            </w:r>
            <w:bookmarkEnd w:id="354"/>
          </w:p>
        </w:tc>
        <w:tc>
          <w:tcPr>
            <w:tcW w:w="5580" w:type="dxa"/>
            <w:tcBorders>
              <w:top w:val="single" w:color="auto" w:sz="4" w:space="0"/>
              <w:left w:val="single" w:color="auto" w:sz="4" w:space="0"/>
              <w:bottom w:val="single" w:color="auto" w:sz="4" w:space="0"/>
              <w:right w:val="single" w:color="auto" w:sz="4" w:space="0"/>
            </w:tcBorders>
            <w:vAlign w:val="center"/>
          </w:tcPr>
          <w:p>
            <w:pPr>
              <w:pStyle w:val="10"/>
              <w:topLinePunct/>
              <w:snapToGrid w:val="0"/>
              <w:spacing w:line="300" w:lineRule="auto"/>
              <w:rPr>
                <w:rFonts w:hAnsi="宋体"/>
                <w:b/>
                <w:color w:val="auto"/>
                <w:sz w:val="21"/>
                <w:szCs w:val="21"/>
                <w:highlight w:val="none"/>
              </w:rPr>
            </w:pPr>
            <w:bookmarkStart w:id="355" w:name="_Toc221950047"/>
          </w:p>
          <w:p>
            <w:pPr>
              <w:pStyle w:val="10"/>
              <w:topLinePunct/>
              <w:snapToGrid w:val="0"/>
              <w:spacing w:line="300" w:lineRule="auto"/>
              <w:rPr>
                <w:rFonts w:hAnsi="宋体" w:cs="宋体"/>
                <w:color w:val="auto"/>
                <w:sz w:val="21"/>
                <w:szCs w:val="21"/>
                <w:highlight w:val="none"/>
              </w:rPr>
            </w:pPr>
            <w:r>
              <w:rPr>
                <w:rFonts w:hint="eastAsia" w:hAnsi="宋体"/>
                <w:b/>
                <w:color w:val="auto"/>
                <w:sz w:val="21"/>
                <w:szCs w:val="21"/>
                <w:highlight w:val="none"/>
              </w:rPr>
              <w:t>资质要求：</w:t>
            </w:r>
            <w:r>
              <w:rPr>
                <w:rFonts w:hint="eastAsia" w:hAnsi="宋体"/>
                <w:color w:val="auto"/>
                <w:sz w:val="21"/>
                <w:szCs w:val="21"/>
                <w:highlight w:val="none"/>
              </w:rPr>
              <w:t>见招标公告或投标邀请书</w:t>
            </w:r>
          </w:p>
          <w:bookmarkEnd w:id="355"/>
          <w:p>
            <w:pPr>
              <w:snapToGrid w:val="0"/>
              <w:spacing w:line="300" w:lineRule="auto"/>
              <w:rPr>
                <w:rFonts w:ascii="宋体" w:hAnsi="宋体"/>
                <w:b/>
                <w:color w:val="auto"/>
                <w:szCs w:val="21"/>
                <w:highlight w:val="none"/>
              </w:rPr>
            </w:pPr>
            <w:bookmarkStart w:id="356" w:name="_Toc221950050"/>
            <w:r>
              <w:rPr>
                <w:rFonts w:hint="eastAsia" w:ascii="宋体" w:hAnsi="宋体"/>
                <w:b/>
                <w:color w:val="auto"/>
                <w:szCs w:val="21"/>
                <w:highlight w:val="none"/>
              </w:rPr>
              <w:t>信誉要求：</w:t>
            </w:r>
            <w:r>
              <w:rPr>
                <w:rFonts w:hint="eastAsia" w:hAnsi="宋体"/>
                <w:color w:val="auto"/>
                <w:szCs w:val="21"/>
                <w:highlight w:val="none"/>
              </w:rPr>
              <w:t>见招标公告或投标邀请书</w:t>
            </w:r>
          </w:p>
          <w:bookmarkEnd w:id="356"/>
          <w:p>
            <w:pPr>
              <w:snapToGrid w:val="0"/>
              <w:spacing w:line="300" w:lineRule="auto"/>
              <w:rPr>
                <w:rFonts w:ascii="宋体" w:hAnsi="宋体" w:cs="宋体"/>
                <w:color w:val="auto"/>
                <w:szCs w:val="21"/>
                <w:highlight w:val="none"/>
              </w:rPr>
            </w:pPr>
            <w:bookmarkStart w:id="357" w:name="_Toc221950051"/>
            <w:r>
              <w:rPr>
                <w:rFonts w:hint="eastAsia" w:ascii="宋体" w:hAnsi="宋体"/>
                <w:b/>
                <w:color w:val="auto"/>
                <w:szCs w:val="21"/>
                <w:highlight w:val="none"/>
              </w:rPr>
              <w:t>项目负责人资格：</w:t>
            </w:r>
            <w:r>
              <w:rPr>
                <w:rFonts w:hint="eastAsia" w:hAnsi="宋体"/>
                <w:color w:val="auto"/>
                <w:szCs w:val="21"/>
                <w:highlight w:val="none"/>
              </w:rPr>
              <w:t>见招标公告或投标邀请书</w:t>
            </w:r>
          </w:p>
          <w:bookmarkEnd w:id="357"/>
          <w:p>
            <w:pPr>
              <w:snapToGrid w:val="0"/>
              <w:spacing w:line="300" w:lineRule="auto"/>
              <w:rPr>
                <w:rFonts w:hint="eastAsia" w:hAnsi="宋体"/>
                <w:color w:val="auto"/>
                <w:szCs w:val="21"/>
                <w:highlight w:val="none"/>
              </w:rPr>
            </w:pPr>
            <w:bookmarkStart w:id="358" w:name="_Toc221950052"/>
            <w:r>
              <w:rPr>
                <w:rFonts w:hint="eastAsia" w:ascii="宋体" w:hAnsi="宋体"/>
                <w:b/>
                <w:color w:val="auto"/>
                <w:szCs w:val="21"/>
                <w:highlight w:val="none"/>
                <w:lang w:val="en-US" w:eastAsia="zh-CN"/>
              </w:rPr>
              <w:t>专职安全员</w:t>
            </w:r>
            <w:r>
              <w:rPr>
                <w:rFonts w:hint="eastAsia" w:ascii="宋体" w:hAnsi="宋体"/>
                <w:b/>
                <w:color w:val="auto"/>
                <w:szCs w:val="21"/>
                <w:highlight w:val="none"/>
              </w:rPr>
              <w:t>：</w:t>
            </w:r>
            <w:r>
              <w:rPr>
                <w:rFonts w:hint="eastAsia" w:hAnsi="宋体"/>
                <w:color w:val="auto"/>
                <w:szCs w:val="21"/>
                <w:highlight w:val="none"/>
              </w:rPr>
              <w:t>见招标公告或投标邀请书</w:t>
            </w:r>
          </w:p>
          <w:p>
            <w:pPr>
              <w:snapToGrid w:val="0"/>
              <w:spacing w:line="300" w:lineRule="auto"/>
              <w:rPr>
                <w:rFonts w:ascii="宋体" w:hAnsi="宋体"/>
                <w:b/>
                <w:color w:val="auto"/>
                <w:szCs w:val="21"/>
                <w:highlight w:val="none"/>
              </w:rPr>
            </w:pPr>
            <w:r>
              <w:rPr>
                <w:rFonts w:hint="eastAsia" w:ascii="宋体" w:hAnsi="宋体"/>
                <w:b/>
                <w:color w:val="auto"/>
                <w:szCs w:val="21"/>
                <w:highlight w:val="none"/>
              </w:rPr>
              <w:t>其他：</w:t>
            </w:r>
            <w:bookmarkEnd w:id="358"/>
            <w:r>
              <w:rPr>
                <w:rFonts w:hint="eastAsia" w:hAnsi="宋体"/>
                <w:color w:val="auto"/>
                <w:szCs w:val="21"/>
                <w:highlight w:val="none"/>
              </w:rPr>
              <w:t>见招标公告或投标邀请书</w:t>
            </w:r>
          </w:p>
          <w:p>
            <w:pPr>
              <w:snapToGrid w:val="0"/>
              <w:spacing w:line="300" w:lineRule="auto"/>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是否接受</w:t>
            </w:r>
          </w:p>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联合体投标</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□不接受</w:t>
            </w:r>
            <w:r>
              <w:rPr>
                <w:rFonts w:ascii="宋体" w:hAnsi="宋体" w:cs="宋体"/>
                <w:color w:val="auto"/>
                <w:szCs w:val="21"/>
                <w:highlight w:val="none"/>
              </w:rPr>
              <w:t>；</w:t>
            </w:r>
          </w:p>
          <w:p>
            <w:pPr>
              <w:snapToGrid w:val="0"/>
              <w:spacing w:line="300" w:lineRule="auto"/>
              <w:ind w:firstLine="71" w:firstLineChars="34"/>
              <w:rPr>
                <w:rFonts w:ascii="宋体" w:hAnsi="宋体" w:cs="宋体"/>
                <w:color w:val="auto"/>
                <w:szCs w:val="21"/>
                <w:highlight w:val="none"/>
                <w:u w:val="single"/>
              </w:rPr>
            </w:pPr>
            <w:r>
              <w:rPr>
                <w:rFonts w:hint="eastAsia" w:ascii="宋体" w:hAnsi="宋体" w:cs="宋体"/>
                <w:color w:val="auto"/>
                <w:szCs w:val="21"/>
                <w:highlight w:val="none"/>
              </w:rPr>
              <w:t>□接受，应满足下列条件：</w:t>
            </w:r>
          </w:p>
          <w:p>
            <w:pPr>
              <w:snapToGrid w:val="0"/>
              <w:spacing w:line="300" w:lineRule="auto"/>
              <w:ind w:firstLine="71" w:firstLineChars="34"/>
              <w:rPr>
                <w:rFonts w:hint="eastAsia" w:ascii="宋体" w:hAnsi="宋体" w:eastAsia="宋体" w:cs="宋体"/>
                <w:color w:val="auto"/>
                <w:szCs w:val="21"/>
                <w:highlight w:val="none"/>
                <w:u w:val="single"/>
                <w:lang w:eastAsia="zh-CN"/>
              </w:rPr>
            </w:pPr>
            <w:r>
              <w:rPr>
                <w:rFonts w:hint="eastAsia" w:ascii="宋体" w:hAnsi="宋体" w:cs="宋体"/>
                <w:color w:val="auto"/>
                <w:highlight w:val="none"/>
                <w:u w:val="single"/>
              </w:rPr>
              <w:t>联合体资质按照联合体协议约定的分工认定。</w:t>
            </w:r>
            <w:r>
              <w:rPr>
                <w:rFonts w:hint="eastAsia"/>
                <w:color w:val="auto"/>
                <w:szCs w:val="21"/>
                <w:highlight w:val="none"/>
                <w:u w:val="single"/>
              </w:rPr>
              <w:t>其他审查标准按</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u w:val="single"/>
                <w:lang w:eastAsia="zh-CN"/>
              </w:rPr>
              <w:t>。</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right="-20"/>
              <w:jc w:val="center"/>
              <w:rPr>
                <w:rFonts w:cs="宋体"/>
                <w:color w:val="auto"/>
                <w:szCs w:val="21"/>
                <w:highlight w:val="none"/>
              </w:rPr>
            </w:pPr>
            <w:r>
              <w:rPr>
                <w:rFonts w:hint="eastAsia" w:cs="宋体"/>
                <w:color w:val="auto"/>
                <w:szCs w:val="21"/>
                <w:highlight w:val="none"/>
              </w:rPr>
              <w:t>1.4.3（19）</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right="-20"/>
              <w:jc w:val="center"/>
              <w:rPr>
                <w:rFonts w:ascii="宋体" w:hAnsi="宋体"/>
                <w:color w:val="auto"/>
                <w:szCs w:val="21"/>
                <w:highlight w:val="none"/>
              </w:rPr>
            </w:pPr>
            <w:r>
              <w:rPr>
                <w:rFonts w:hint="eastAsia" w:ascii="宋体" w:hAnsi="宋体"/>
                <w:color w:val="auto"/>
                <w:szCs w:val="21"/>
                <w:highlight w:val="none"/>
              </w:rPr>
              <w:t>投标人不得存在的</w:t>
            </w:r>
          </w:p>
          <w:p>
            <w:pPr>
              <w:snapToGrid w:val="0"/>
              <w:spacing w:line="300" w:lineRule="auto"/>
              <w:ind w:right="-20"/>
              <w:jc w:val="center"/>
              <w:rPr>
                <w:rFonts w:ascii="宋体" w:hAnsi="宋体" w:cs="宋体"/>
                <w:color w:val="auto"/>
                <w:szCs w:val="21"/>
                <w:highlight w:val="none"/>
              </w:rPr>
            </w:pPr>
            <w:r>
              <w:rPr>
                <w:rFonts w:hint="eastAsia" w:ascii="宋体" w:hAnsi="宋体"/>
                <w:color w:val="auto"/>
                <w:szCs w:val="21"/>
                <w:highlight w:val="none"/>
              </w:rPr>
              <w:t>其他情形</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firstLine="71" w:firstLineChars="34"/>
              <w:rPr>
                <w:rFonts w:ascii="宋体" w:hAnsi="宋体" w:cs="宋体"/>
                <w:color w:val="auto"/>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9</w:t>
            </w:r>
            <w:r>
              <w:rPr>
                <w:rFonts w:hint="eastAsia" w:ascii="宋体" w:hAnsi="宋体"/>
                <w:color w:val="auto"/>
                <w:szCs w:val="21"/>
                <w:highlight w:val="none"/>
              </w:rPr>
              <w:t>.</w:t>
            </w:r>
            <w:r>
              <w:rPr>
                <w:rFonts w:hint="eastAsia"/>
                <w:color w:val="auto"/>
                <w:szCs w:val="21"/>
                <w:highlight w:val="none"/>
              </w:rPr>
              <w:t>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踏勘现场</w:t>
            </w:r>
          </w:p>
        </w:tc>
        <w:tc>
          <w:tcPr>
            <w:tcW w:w="5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firstLine="71" w:firstLineChars="34"/>
              <w:jc w:val="left"/>
              <w:rPr>
                <w:rFonts w:ascii="宋体" w:hAnsi="宋体" w:cs="宋体"/>
                <w:color w:val="auto"/>
                <w:szCs w:val="21"/>
                <w:highlight w:val="none"/>
              </w:rPr>
            </w:pPr>
            <w:r>
              <w:rPr>
                <w:rFonts w:hint="eastAsia" w:ascii="宋体" w:hAnsi="宋体" w:cs="宋体"/>
                <w:color w:val="auto"/>
                <w:szCs w:val="21"/>
                <w:highlight w:val="none"/>
              </w:rPr>
              <w:t>□不组织；</w:t>
            </w:r>
          </w:p>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□组  织，踏勘时间：</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00" w:lineRule="auto"/>
              <w:ind w:firstLine="1008" w:firstLineChars="480"/>
              <w:rPr>
                <w:rFonts w:ascii="宋体" w:hAnsi="宋体" w:cs="宋体"/>
                <w:color w:val="auto"/>
                <w:szCs w:val="21"/>
                <w:highlight w:val="none"/>
              </w:rPr>
            </w:pPr>
            <w:r>
              <w:rPr>
                <w:rFonts w:hint="eastAsia" w:ascii="宋体" w:hAnsi="宋体" w:cs="宋体"/>
                <w:color w:val="auto"/>
                <w:szCs w:val="21"/>
                <w:highlight w:val="none"/>
              </w:rPr>
              <w:t xml:space="preserve"> 踏勘集中地点：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 w:val="18"/>
                <w:szCs w:val="18"/>
                <w:highlight w:val="none"/>
              </w:rPr>
              <w:t>。</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10</w:t>
            </w:r>
            <w:r>
              <w:rPr>
                <w:rFonts w:hint="eastAsia" w:ascii="宋体" w:hAnsi="宋体"/>
                <w:color w:val="auto"/>
                <w:szCs w:val="21"/>
                <w:highlight w:val="none"/>
              </w:rPr>
              <w:t>.</w:t>
            </w:r>
            <w:r>
              <w:rPr>
                <w:rFonts w:hint="eastAsia"/>
                <w:color w:val="auto"/>
                <w:szCs w:val="21"/>
                <w:highlight w:val="none"/>
              </w:rPr>
              <w:t>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投标预备会</w:t>
            </w:r>
          </w:p>
        </w:tc>
        <w:tc>
          <w:tcPr>
            <w:tcW w:w="5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firstLine="71" w:firstLineChars="34"/>
              <w:jc w:val="left"/>
              <w:rPr>
                <w:rFonts w:ascii="宋体" w:hAnsi="宋体" w:cs="宋体"/>
                <w:color w:val="auto"/>
                <w:szCs w:val="21"/>
                <w:highlight w:val="none"/>
              </w:rPr>
            </w:pPr>
            <w:r>
              <w:rPr>
                <w:rFonts w:hint="eastAsia" w:ascii="宋体" w:hAnsi="宋体" w:cs="宋体"/>
                <w:color w:val="auto"/>
                <w:szCs w:val="21"/>
                <w:highlight w:val="none"/>
              </w:rPr>
              <w:t>□不召开；</w:t>
            </w:r>
          </w:p>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□召  开，召开时间：</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 </w:t>
            </w:r>
          </w:p>
          <w:p>
            <w:pPr>
              <w:snapToGrid w:val="0"/>
              <w:spacing w:line="300" w:lineRule="auto"/>
              <w:ind w:firstLine="1113" w:firstLineChars="530"/>
              <w:rPr>
                <w:rFonts w:ascii="宋体" w:hAnsi="宋体" w:cs="宋体"/>
                <w:color w:val="auto"/>
                <w:szCs w:val="21"/>
                <w:highlight w:val="none"/>
              </w:rPr>
            </w:pPr>
            <w:r>
              <w:rPr>
                <w:rFonts w:hint="eastAsia" w:ascii="宋体" w:hAnsi="宋体" w:cs="宋体"/>
                <w:color w:val="auto"/>
                <w:szCs w:val="21"/>
                <w:highlight w:val="none"/>
              </w:rPr>
              <w:t>召开地点：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     </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10</w:t>
            </w:r>
            <w:r>
              <w:rPr>
                <w:rFonts w:hint="eastAsia" w:ascii="宋体" w:hAnsi="宋体"/>
                <w:color w:val="auto"/>
                <w:szCs w:val="21"/>
                <w:highlight w:val="none"/>
              </w:rPr>
              <w:t>.</w:t>
            </w:r>
            <w:r>
              <w:rPr>
                <w:rFonts w:hint="eastAsia"/>
                <w:color w:val="auto"/>
                <w:szCs w:val="21"/>
                <w:highlight w:val="none"/>
              </w:rPr>
              <w:t>2</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投标人提出问题的</w:t>
            </w:r>
          </w:p>
          <w:p>
            <w:pPr>
              <w:snapToGrid w:val="0"/>
              <w:spacing w:line="300" w:lineRule="auto"/>
              <w:jc w:val="center"/>
              <w:rPr>
                <w:color w:val="auto"/>
                <w:highlight w:val="none"/>
              </w:rPr>
            </w:pPr>
            <w:r>
              <w:rPr>
                <w:rFonts w:hint="eastAsia"/>
                <w:color w:val="auto"/>
                <w:highlight w:val="none"/>
              </w:rPr>
              <w:t>截止时间</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highlight w:val="none"/>
              </w:rPr>
            </w:pPr>
            <w:r>
              <w:rPr>
                <w:rFonts w:ascii="宋体" w:hAnsi="宋体" w:cs="宋体"/>
                <w:color w:val="auto"/>
                <w:spacing w:val="-19"/>
                <w:highlight w:val="none"/>
              </w:rPr>
              <w:t>疑问提交时间：</w:t>
            </w:r>
            <w:r>
              <w:rPr>
                <w:rFonts w:hint="eastAsia" w:ascii="宋体" w:hAnsi="宋体" w:cs="宋体"/>
                <w:color w:val="auto"/>
                <w:szCs w:val="21"/>
                <w:highlight w:val="none"/>
                <w:u w:val="single"/>
                <w:lang w:val="en-US" w:eastAsia="zh-CN"/>
              </w:rPr>
              <w:t xml:space="preserve">    </w:t>
            </w:r>
            <w:r>
              <w:rPr>
                <w:rFonts w:ascii="宋体" w:hAnsi="宋体" w:cs="宋体"/>
                <w:color w:val="auto"/>
                <w:spacing w:val="-19"/>
                <w:highlight w:val="none"/>
              </w:rPr>
              <w:t>年</w:t>
            </w:r>
            <w:r>
              <w:rPr>
                <w:rFonts w:hint="eastAsia" w:ascii="宋体" w:hAnsi="宋体" w:cs="宋体"/>
                <w:color w:val="auto"/>
                <w:spacing w:val="-19"/>
                <w:highlight w:val="none"/>
                <w:lang w:val="en-US" w:eastAsia="zh-CN"/>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pacing w:val="-19"/>
                <w:highlight w:val="none"/>
                <w:lang w:val="en-US" w:eastAsia="zh-CN"/>
              </w:rPr>
              <w:t xml:space="preserve"> </w:t>
            </w:r>
            <w:r>
              <w:rPr>
                <w:rFonts w:ascii="宋体" w:hAnsi="宋体" w:cs="宋体"/>
                <w:color w:val="auto"/>
                <w:spacing w:val="-19"/>
                <w:highlight w:val="none"/>
              </w:rPr>
              <w:t>月</w:t>
            </w:r>
            <w:r>
              <w:rPr>
                <w:rFonts w:hint="eastAsia" w:ascii="宋体" w:hAnsi="宋体" w:cs="宋体"/>
                <w:color w:val="auto"/>
                <w:szCs w:val="21"/>
                <w:highlight w:val="none"/>
                <w:u w:val="single"/>
                <w:lang w:val="en-US" w:eastAsia="zh-CN"/>
              </w:rPr>
              <w:t xml:space="preserve">    </w:t>
            </w:r>
            <w:r>
              <w:rPr>
                <w:rFonts w:ascii="宋体" w:hAnsi="宋体" w:cs="宋体"/>
                <w:color w:val="auto"/>
                <w:spacing w:val="-19"/>
                <w:highlight w:val="none"/>
              </w:rPr>
              <w:t>日</w:t>
            </w:r>
            <w:r>
              <w:rPr>
                <w:rFonts w:hint="eastAsia" w:ascii="宋体" w:hAnsi="宋体" w:cs="宋体"/>
                <w:color w:val="auto"/>
                <w:szCs w:val="21"/>
                <w:highlight w:val="none"/>
                <w:u w:val="single"/>
                <w:lang w:val="en-US" w:eastAsia="zh-CN"/>
              </w:rPr>
              <w:t xml:space="preserve">    </w:t>
            </w:r>
            <w:r>
              <w:rPr>
                <w:rFonts w:ascii="宋体" w:hAnsi="宋体" w:cs="宋体"/>
                <w:color w:val="auto"/>
                <w:spacing w:val="-19"/>
                <w:highlight w:val="none"/>
              </w:rPr>
              <w:t>时</w:t>
            </w:r>
            <w:r>
              <w:rPr>
                <w:rFonts w:hint="eastAsia" w:ascii="宋体" w:hAnsi="宋体" w:cs="宋体"/>
                <w:color w:val="auto"/>
                <w:spacing w:val="-19"/>
                <w:highlight w:val="none"/>
                <w:lang w:val="en-US" w:eastAsia="zh-CN"/>
              </w:rPr>
              <w:t xml:space="preserve"> </w:t>
            </w:r>
            <w:r>
              <w:rPr>
                <w:rFonts w:ascii="宋体" w:hAnsi="宋体" w:cs="宋体"/>
                <w:color w:val="auto"/>
                <w:spacing w:val="-19"/>
                <w:highlight w:val="none"/>
              </w:rPr>
              <w:t>前；</w:t>
            </w:r>
          </w:p>
          <w:p>
            <w:pPr>
              <w:snapToGrid w:val="0"/>
              <w:spacing w:line="300" w:lineRule="auto"/>
              <w:rPr>
                <w:rFonts w:ascii="宋体" w:hAnsi="宋体" w:cs="宋体"/>
                <w:color w:val="auto"/>
                <w:highlight w:val="none"/>
              </w:rPr>
            </w:pPr>
            <w:r>
              <w:rPr>
                <w:rFonts w:ascii="宋体" w:hAnsi="宋体" w:cs="宋体"/>
                <w:color w:val="auto"/>
                <w:spacing w:val="-11"/>
                <w:highlight w:val="none"/>
              </w:rPr>
              <w:t>形式：</w:t>
            </w:r>
            <w:r>
              <w:rPr>
                <w:rFonts w:hint="eastAsia" w:ascii="宋体" w:hAnsi="宋体" w:cs="宋体"/>
                <w:color w:val="auto"/>
                <w:spacing w:val="-11"/>
                <w:highlight w:val="none"/>
              </w:rPr>
              <w:t>投标人的疑问通过电子交易平台提交</w:t>
            </w:r>
            <w:r>
              <w:rPr>
                <w:rFonts w:ascii="宋体" w:hAnsi="宋体" w:cs="宋体"/>
                <w:color w:val="auto"/>
                <w:spacing w:val="-11"/>
                <w:highlight w:val="none"/>
              </w:rPr>
              <w:t>。</w:t>
            </w:r>
          </w:p>
          <w:p>
            <w:pPr>
              <w:snapToGrid w:val="0"/>
              <w:spacing w:line="300" w:lineRule="auto"/>
              <w:rPr>
                <w:color w:val="auto"/>
                <w:highlight w:val="none"/>
              </w:rPr>
            </w:pPr>
            <w:r>
              <w:rPr>
                <w:rFonts w:ascii="宋体" w:hAnsi="宋体" w:cs="宋体"/>
                <w:color w:val="auto"/>
                <w:spacing w:val="-7"/>
                <w:highlight w:val="none"/>
              </w:rPr>
              <w:t>具体要求：</w:t>
            </w:r>
            <w:r>
              <w:rPr>
                <w:rFonts w:hint="eastAsia" w:ascii="宋体" w:hAnsi="宋体" w:cs="宋体"/>
                <w:color w:val="auto"/>
                <w:spacing w:val="-7"/>
                <w:highlight w:val="none"/>
              </w:rPr>
              <w:t>按照电子交易平台的相关指南进行操作。提问一律不得署名。</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59" w:name="_Toc221950053"/>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11</w:t>
            </w:r>
            <w:bookmarkEnd w:id="359"/>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60" w:name="_Toc221950054"/>
            <w:r>
              <w:rPr>
                <w:rFonts w:hint="eastAsia" w:ascii="宋体" w:hAnsi="宋体" w:cs="宋体"/>
                <w:color w:val="auto"/>
                <w:szCs w:val="21"/>
                <w:highlight w:val="none"/>
              </w:rPr>
              <w:t>分包</w:t>
            </w:r>
            <w:bookmarkEnd w:id="360"/>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firstLine="71" w:firstLineChars="34"/>
              <w:rPr>
                <w:rFonts w:ascii="宋体" w:hAnsi="宋体" w:cs="宋体"/>
                <w:color w:val="auto"/>
                <w:szCs w:val="21"/>
                <w:highlight w:val="none"/>
              </w:rPr>
            </w:pPr>
            <w:bookmarkStart w:id="361" w:name="_Toc221950057"/>
            <w:bookmarkStart w:id="362" w:name="_Toc221950056"/>
            <w:r>
              <w:rPr>
                <w:rFonts w:hint="eastAsia" w:ascii="宋体" w:hAnsi="宋体" w:cs="宋体"/>
                <w:color w:val="auto"/>
                <w:szCs w:val="21"/>
                <w:highlight w:val="none"/>
              </w:rPr>
              <w:t>□不允许</w:t>
            </w:r>
            <w:bookmarkEnd w:id="361"/>
            <w:r>
              <w:rPr>
                <w:rFonts w:ascii="宋体" w:hAnsi="宋体" w:cs="宋体"/>
                <w:color w:val="auto"/>
                <w:szCs w:val="21"/>
                <w:highlight w:val="none"/>
              </w:rPr>
              <w:t>；</w:t>
            </w:r>
          </w:p>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□允许，分包内容要求：</w:t>
            </w:r>
            <w:bookmarkEnd w:id="362"/>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 </w:t>
            </w:r>
          </w:p>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 xml:space="preserve">        分包金额要求：</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 </w:t>
            </w:r>
          </w:p>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 xml:space="preserve">       接受分包的第三人资质要求：</w:t>
            </w:r>
            <w:r>
              <w:rPr>
                <w:rFonts w:hint="eastAsia" w:ascii="宋体" w:hAnsi="宋体" w:cs="宋体"/>
                <w:color w:val="auto"/>
                <w:szCs w:val="21"/>
                <w:highlight w:val="none"/>
                <w:u w:val="single"/>
                <w:lang w:val="en-US" w:eastAsia="zh-CN"/>
              </w:rPr>
              <w:t xml:space="preserve">    </w:t>
            </w:r>
            <w:r>
              <w:rPr>
                <w:rFonts w:ascii="宋体" w:hAnsi="宋体" w:cs="宋体"/>
                <w:color w:val="auto"/>
                <w:szCs w:val="21"/>
                <w:highlight w:val="none"/>
              </w:rPr>
              <w:t>。</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12</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偏离</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不允许；</w:t>
            </w:r>
          </w:p>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□允许，偏离允许幅度及其处理办法：</w:t>
            </w:r>
            <w:r>
              <w:rPr>
                <w:rFonts w:hint="eastAsia" w:ascii="宋体" w:hAnsi="宋体" w:cs="宋体"/>
                <w:color w:val="auto"/>
                <w:szCs w:val="21"/>
                <w:highlight w:val="none"/>
                <w:u w:val="single"/>
                <w:lang w:val="en-US" w:eastAsia="zh-CN"/>
              </w:rPr>
              <w:t xml:space="preserve">    </w:t>
            </w:r>
            <w:r>
              <w:rPr>
                <w:rFonts w:ascii="宋体" w:hAnsi="宋体" w:cs="宋体"/>
                <w:color w:val="auto"/>
                <w:szCs w:val="21"/>
                <w:highlight w:val="none"/>
              </w:rPr>
              <w:t>。</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1</w:t>
            </w:r>
            <w:r>
              <w:rPr>
                <w:rFonts w:hint="eastAsia"/>
                <w:color w:val="auto"/>
                <w:highlight w:val="none"/>
              </w:rPr>
              <w:t>（9）</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构成招标文件的</w:t>
            </w:r>
            <w:r>
              <w:rPr>
                <w:rFonts w:hint="eastAsia" w:ascii="宋体" w:hAnsi="宋体" w:cs="宋体"/>
                <w:color w:val="auto"/>
                <w:szCs w:val="21"/>
                <w:highlight w:val="none"/>
                <w:lang w:eastAsia="zh-CN"/>
              </w:rPr>
              <w:t>其他材料</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u w:val="singl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2.2.1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投标人要求</w:t>
            </w:r>
          </w:p>
          <w:p>
            <w:pPr>
              <w:snapToGrid w:val="0"/>
              <w:spacing w:line="300" w:lineRule="auto"/>
              <w:jc w:val="center"/>
              <w:rPr>
                <w:color w:val="auto"/>
                <w:highlight w:val="none"/>
              </w:rPr>
            </w:pPr>
            <w:r>
              <w:rPr>
                <w:rFonts w:hint="eastAsia"/>
                <w:color w:val="auto"/>
                <w:highlight w:val="none"/>
              </w:rPr>
              <w:t>澄清招标文件的截止时间</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color w:val="auto"/>
                <w:highlight w:val="none"/>
              </w:rPr>
            </w:pPr>
            <w:r>
              <w:rPr>
                <w:rFonts w:hint="eastAsia"/>
                <w:color w:val="auto"/>
                <w:szCs w:val="21"/>
                <w:highlight w:val="none"/>
              </w:rPr>
              <w:t>递交投标文件截止之日</w:t>
            </w:r>
            <w:r>
              <w:rPr>
                <w:rFonts w:hint="eastAsia" w:ascii="宋体" w:hAnsi="宋体" w:cs="宋体"/>
                <w:color w:val="auto"/>
                <w:szCs w:val="21"/>
                <w:highlight w:val="none"/>
                <w:u w:val="single"/>
                <w:lang w:val="en-US" w:eastAsia="zh-CN"/>
              </w:rPr>
              <w:t xml:space="preserve">    </w:t>
            </w:r>
            <w:r>
              <w:rPr>
                <w:rFonts w:hint="eastAsia"/>
                <w:color w:val="auto"/>
                <w:szCs w:val="21"/>
                <w:highlight w:val="none"/>
              </w:rPr>
              <w:t>日前</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szCs w:val="21"/>
                <w:highlight w:val="none"/>
              </w:rPr>
              <w:t>3</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cs="宋体"/>
                <w:color w:val="auto"/>
                <w:szCs w:val="21"/>
                <w:highlight w:val="none"/>
              </w:rPr>
              <w:t>（11）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构成投标文件</w:t>
            </w:r>
          </w:p>
          <w:p>
            <w:pPr>
              <w:snapToGrid w:val="0"/>
              <w:spacing w:line="300" w:lineRule="auto"/>
              <w:jc w:val="center"/>
              <w:rPr>
                <w:color w:val="auto"/>
                <w:highlight w:val="none"/>
              </w:rPr>
            </w:pPr>
            <w:r>
              <w:rPr>
                <w:rFonts w:hint="eastAsia"/>
                <w:color w:val="auto"/>
                <w:highlight w:val="none"/>
              </w:rPr>
              <w:t>的其他材料</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color w:val="auto"/>
                <w:szCs w:val="21"/>
                <w:highlight w:val="none"/>
              </w:rPr>
            </w:pP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3</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最高投标限价</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firstLine="71" w:firstLineChars="34"/>
              <w:rPr>
                <w:rFonts w:ascii="宋体" w:hAnsi="宋体"/>
                <w:color w:val="auto"/>
                <w:szCs w:val="21"/>
                <w:highlight w:val="none"/>
              </w:rPr>
            </w:pPr>
            <w:r>
              <w:rPr>
                <w:rFonts w:hint="eastAsia" w:ascii="宋体" w:hAnsi="宋体"/>
                <w:color w:val="auto"/>
                <w:szCs w:val="21"/>
                <w:highlight w:val="none"/>
              </w:rPr>
              <w:t>最高投标限价为</w:t>
            </w:r>
            <w:r>
              <w:rPr>
                <w:rFonts w:hint="eastAsia" w:ascii="宋体" w:hAnsi="宋体" w:cs="宋体"/>
                <w:color w:val="auto"/>
                <w:szCs w:val="21"/>
                <w:highlight w:val="none"/>
                <w:u w:val="single"/>
                <w:lang w:val="en-US" w:eastAsia="zh-CN"/>
              </w:rPr>
              <w:t xml:space="preserve">    </w:t>
            </w:r>
            <w:r>
              <w:rPr>
                <w:rFonts w:hint="eastAsia" w:ascii="宋体" w:hAnsi="宋体"/>
                <w:color w:val="auto"/>
                <w:szCs w:val="21"/>
                <w:highlight w:val="none"/>
              </w:rPr>
              <w:t>万元。</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hint="default" w:eastAsia="宋体" w:cs="宋体"/>
                <w:color w:val="auto"/>
                <w:szCs w:val="21"/>
                <w:highlight w:val="none"/>
                <w:lang w:val="en-US" w:eastAsia="zh-CN"/>
              </w:rPr>
            </w:pPr>
            <w:bookmarkStart w:id="363" w:name="_Toc221950062"/>
            <w:r>
              <w:rPr>
                <w:rFonts w:hint="eastAsia" w:cs="宋体"/>
                <w:color w:val="auto"/>
                <w:szCs w:val="21"/>
                <w:highlight w:val="none"/>
                <w:lang w:val="en-US" w:eastAsia="zh-CN"/>
              </w:rPr>
              <w:t>3.2.4</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成本警示价</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firstLine="71" w:firstLineChars="34"/>
              <w:rPr>
                <w:rFonts w:hint="eastAsia" w:ascii="宋体" w:hAnsi="宋体"/>
                <w:color w:val="auto"/>
                <w:szCs w:val="21"/>
                <w:highlight w:val="none"/>
              </w:rPr>
            </w:pPr>
            <w:r>
              <w:rPr>
                <w:rFonts w:hint="eastAsia" w:ascii="宋体" w:hAnsi="宋体"/>
                <w:color w:val="auto"/>
                <w:szCs w:val="21"/>
                <w:highlight w:val="none"/>
              </w:rPr>
              <w:t>成本警示价为        元。（最高投标限价的   %设置为成本警示价）</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bookmarkEnd w:id="363"/>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64" w:name="_Toc221950063"/>
            <w:r>
              <w:rPr>
                <w:rFonts w:hint="eastAsia" w:ascii="宋体" w:hAnsi="宋体" w:cs="宋体"/>
                <w:color w:val="auto"/>
                <w:szCs w:val="21"/>
                <w:highlight w:val="none"/>
              </w:rPr>
              <w:t>投标有效期</w:t>
            </w:r>
            <w:bookmarkEnd w:id="364"/>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r>
              <w:rPr>
                <w:rFonts w:hint="eastAsia" w:ascii="宋体" w:hAnsi="宋体" w:cs="宋体"/>
                <w:caps/>
                <w:color w:val="auto"/>
                <w:szCs w:val="21"/>
                <w:highlight w:val="none"/>
              </w:rPr>
              <w:t>自投标截止时间起</w:t>
            </w:r>
            <w:r>
              <w:rPr>
                <w:rFonts w:hint="eastAsia" w:ascii="宋体" w:hAnsi="宋体"/>
                <w:caps/>
                <w:color w:val="auto"/>
                <w:szCs w:val="21"/>
                <w:highlight w:val="none"/>
              </w:rPr>
              <w:t>日</w:t>
            </w:r>
            <w:r>
              <w:rPr>
                <w:rFonts w:hint="eastAsia" w:ascii="宋体" w:hAnsi="宋体" w:cs="宋体"/>
                <w:color w:val="auto"/>
                <w:szCs w:val="21"/>
                <w:highlight w:val="none"/>
                <w:u w:val="single"/>
                <w:lang w:val="en-US" w:eastAsia="zh-CN"/>
              </w:rPr>
              <w:t xml:space="preserve">    </w:t>
            </w:r>
            <w:r>
              <w:rPr>
                <w:rFonts w:hint="eastAsia" w:ascii="宋体" w:hAnsi="宋体"/>
                <w:caps/>
                <w:color w:val="auto"/>
                <w:szCs w:val="21"/>
                <w:highlight w:val="none"/>
              </w:rPr>
              <w:t>内有效</w:t>
            </w:r>
          </w:p>
        </w:tc>
      </w:tr>
      <w:tr>
        <w:tblPrEx>
          <w:tblLayout w:type="fixed"/>
          <w:tblCellMar>
            <w:top w:w="0" w:type="dxa"/>
            <w:left w:w="108" w:type="dxa"/>
            <w:bottom w:w="0" w:type="dxa"/>
            <w:right w:w="108" w:type="dxa"/>
          </w:tblCellMar>
        </w:tblPrEx>
        <w:trPr>
          <w:trHeight w:val="2354"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65" w:name="_Toc221950064"/>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bookmarkEnd w:id="365"/>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66" w:name="_Toc221950065"/>
            <w:r>
              <w:rPr>
                <w:rFonts w:hint="eastAsia" w:ascii="宋体" w:hAnsi="宋体" w:cs="宋体"/>
                <w:color w:val="auto"/>
                <w:szCs w:val="21"/>
                <w:highlight w:val="none"/>
              </w:rPr>
              <w:t>投标保证金</w:t>
            </w:r>
            <w:bookmarkEnd w:id="366"/>
          </w:p>
        </w:tc>
        <w:tc>
          <w:tcPr>
            <w:tcW w:w="55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olor w:val="auto"/>
                <w:szCs w:val="21"/>
                <w:highlight w:val="none"/>
              </w:rPr>
            </w:pPr>
            <w:r>
              <w:rPr>
                <w:rFonts w:hint="eastAsia" w:ascii="宋体" w:hAnsi="宋体" w:cs="宋体"/>
                <w:color w:val="auto"/>
                <w:szCs w:val="21"/>
                <w:highlight w:val="none"/>
                <w:lang w:eastAsia="zh-CN"/>
              </w:rPr>
              <w:t>□</w:t>
            </w:r>
            <w:r>
              <w:rPr>
                <w:rFonts w:hint="eastAsia" w:ascii="宋体" w:hAnsi="宋体"/>
                <w:color w:val="auto"/>
                <w:szCs w:val="21"/>
                <w:highlight w:val="none"/>
              </w:rPr>
              <w:t>不提交</w:t>
            </w:r>
          </w:p>
          <w:p>
            <w:pPr>
              <w:adjustRightInd w:val="0"/>
              <w:snapToGrid w:val="0"/>
              <w:jc w:val="left"/>
              <w:rPr>
                <w:rFonts w:ascii="宋体" w:hAnsi="宋体"/>
                <w:color w:val="auto"/>
                <w:szCs w:val="21"/>
                <w:highlight w:val="none"/>
              </w:rPr>
            </w:pPr>
            <w:r>
              <w:rPr>
                <w:rFonts w:hint="eastAsia" w:ascii="宋体" w:hAnsi="宋体" w:cs="宋体"/>
                <w:color w:val="auto"/>
                <w:szCs w:val="21"/>
                <w:highlight w:val="none"/>
                <w:lang w:eastAsia="zh-CN"/>
              </w:rPr>
              <w:t>□</w:t>
            </w:r>
            <w:r>
              <w:rPr>
                <w:rFonts w:hint="eastAsia" w:ascii="宋体" w:hAnsi="宋体"/>
                <w:color w:val="auto"/>
                <w:szCs w:val="21"/>
                <w:highlight w:val="none"/>
              </w:rPr>
              <w:t>提交，</w:t>
            </w:r>
          </w:p>
          <w:p>
            <w:pPr>
              <w:widowControl/>
              <w:jc w:val="left"/>
              <w:rPr>
                <w:rFonts w:ascii="宋体" w:hAnsi="Calibri" w:cs="宋体"/>
                <w:color w:val="auto"/>
                <w:kern w:val="0"/>
                <w:szCs w:val="21"/>
                <w:highlight w:val="none"/>
              </w:rPr>
            </w:pPr>
            <w:r>
              <w:rPr>
                <w:rFonts w:ascii="宋体" w:hAnsi="宋体" w:cs="宋体"/>
                <w:color w:val="auto"/>
                <w:kern w:val="0"/>
                <w:szCs w:val="21"/>
                <w:highlight w:val="none"/>
              </w:rPr>
              <w:t xml:space="preserve">1. </w:t>
            </w:r>
            <w:r>
              <w:rPr>
                <w:rFonts w:hint="eastAsia" w:ascii="宋体" w:hAnsi="宋体" w:cs="宋体"/>
                <w:color w:val="auto"/>
                <w:kern w:val="0"/>
                <w:szCs w:val="21"/>
                <w:highlight w:val="none"/>
              </w:rPr>
              <w:t>递交截止时间（到账时间）：同本标段投标截止时间。</w:t>
            </w:r>
          </w:p>
          <w:p>
            <w:pPr>
              <w:widowControl/>
              <w:jc w:val="left"/>
              <w:rPr>
                <w:rFonts w:ascii="宋体" w:hAnsi="Calibri" w:cs="宋体"/>
                <w:color w:val="auto"/>
                <w:kern w:val="0"/>
                <w:szCs w:val="21"/>
                <w:highlight w:val="none"/>
                <w:u w:val="single"/>
              </w:rPr>
            </w:pPr>
            <w:r>
              <w:rPr>
                <w:rFonts w:ascii="宋体" w:hAnsi="宋体" w:cs="宋体"/>
                <w:color w:val="auto"/>
                <w:kern w:val="0"/>
                <w:szCs w:val="21"/>
                <w:highlight w:val="none"/>
              </w:rPr>
              <w:t xml:space="preserve">2. </w:t>
            </w:r>
            <w:r>
              <w:rPr>
                <w:rFonts w:hint="eastAsia" w:ascii="宋体" w:hAnsi="宋体" w:cs="宋体"/>
                <w:color w:val="auto"/>
                <w:kern w:val="0"/>
                <w:szCs w:val="21"/>
                <w:highlight w:val="none"/>
              </w:rPr>
              <w:t>金额</w:t>
            </w:r>
            <w:r>
              <w:rPr>
                <w:rStyle w:val="27"/>
                <w:rFonts w:hint="eastAsia" w:ascii="宋体" w:hAnsi="宋体" w:cs="宋体"/>
                <w:color w:val="auto"/>
                <w:kern w:val="0"/>
                <w:szCs w:val="21"/>
                <w:highlight w:val="none"/>
              </w:rPr>
              <w:footnoteReference w:id="2"/>
            </w:r>
            <w:r>
              <w:rPr>
                <w:rFonts w:hint="eastAsia" w:ascii="宋体" w:hAnsi="宋体" w:cs="宋体"/>
                <w:color w:val="auto"/>
                <w:kern w:val="0"/>
                <w:szCs w:val="21"/>
                <w:highlight w:val="none"/>
              </w:rPr>
              <w:t>：</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万元。</w:t>
            </w:r>
          </w:p>
          <w:p>
            <w:pPr>
              <w:ind w:left="210" w:hanging="210" w:hangingChars="100"/>
              <w:rPr>
                <w:rFonts w:ascii="Calibri" w:hAnsi="Calibri"/>
                <w:color w:val="auto"/>
                <w:szCs w:val="22"/>
                <w:highlight w:val="none"/>
                <w:u w:val="single"/>
              </w:rPr>
            </w:pPr>
            <w:r>
              <w:rPr>
                <w:rFonts w:ascii="Calibri" w:hAnsi="Calibri"/>
                <w:color w:val="auto"/>
                <w:szCs w:val="22"/>
                <w:highlight w:val="none"/>
              </w:rPr>
              <w:t xml:space="preserve">3. </w:t>
            </w:r>
            <w:r>
              <w:rPr>
                <w:rFonts w:hint="eastAsia" w:ascii="Calibri" w:hAnsi="Calibri"/>
                <w:color w:val="auto"/>
                <w:szCs w:val="22"/>
                <w:highlight w:val="none"/>
              </w:rPr>
              <w:t>形式：投标</w:t>
            </w:r>
            <w:r>
              <w:rPr>
                <w:rFonts w:hint="eastAsia" w:ascii="宋体" w:hAnsi="宋体" w:cs="宋体"/>
                <w:color w:val="auto"/>
                <w:kern w:val="0"/>
                <w:szCs w:val="21"/>
                <w:highlight w:val="none"/>
              </w:rPr>
              <w:t>人应当采用现金、电子银行保函、电子担保保函、电子保险保单中的一种</w:t>
            </w:r>
            <w:r>
              <w:rPr>
                <w:rFonts w:hint="eastAsia" w:ascii="Calibri" w:hAnsi="Calibri"/>
                <w:color w:val="auto"/>
                <w:szCs w:val="22"/>
                <w:highlight w:val="none"/>
              </w:rPr>
              <w:t>形式递交投标担保。</w:t>
            </w:r>
          </w:p>
          <w:p>
            <w:pPr>
              <w:widowControl/>
              <w:jc w:val="left"/>
              <w:rPr>
                <w:rFonts w:ascii="Calibri" w:hAnsi="Calibri"/>
                <w:color w:val="auto"/>
                <w:szCs w:val="22"/>
                <w:highlight w:val="none"/>
              </w:rPr>
            </w:pPr>
            <w:r>
              <w:rPr>
                <w:rFonts w:ascii="宋体" w:hAnsi="宋体" w:cs="宋体"/>
                <w:color w:val="auto"/>
                <w:kern w:val="0"/>
                <w:szCs w:val="21"/>
                <w:highlight w:val="none"/>
              </w:rPr>
              <w:t xml:space="preserve">4. </w:t>
            </w:r>
            <w:r>
              <w:rPr>
                <w:rFonts w:hint="eastAsia" w:ascii="宋体" w:hAnsi="宋体" w:cs="宋体"/>
                <w:color w:val="auto"/>
                <w:kern w:val="0"/>
                <w:szCs w:val="21"/>
                <w:highlight w:val="none"/>
              </w:rPr>
              <w:t>递交方</w:t>
            </w:r>
            <w:r>
              <w:rPr>
                <w:rFonts w:hint="eastAsia" w:ascii="Calibri" w:hAnsi="Calibri"/>
                <w:color w:val="auto"/>
                <w:szCs w:val="22"/>
                <w:highlight w:val="none"/>
              </w:rPr>
              <w:t>式及要求</w:t>
            </w:r>
            <w:r>
              <w:rPr>
                <w:rStyle w:val="27"/>
                <w:rFonts w:hint="eastAsia" w:ascii="Calibri" w:hAnsi="Calibri"/>
                <w:color w:val="auto"/>
                <w:szCs w:val="22"/>
                <w:highlight w:val="none"/>
              </w:rPr>
              <w:footnoteReference w:id="3"/>
            </w:r>
            <w:r>
              <w:rPr>
                <w:rFonts w:hint="eastAsia" w:ascii="Calibri" w:hAnsi="Calibri"/>
                <w:color w:val="auto"/>
                <w:szCs w:val="22"/>
                <w:highlight w:val="none"/>
              </w:rPr>
              <w:t>：</w:t>
            </w:r>
          </w:p>
          <w:p>
            <w:pPr>
              <w:widowControl/>
              <w:ind w:firstLine="211" w:firstLineChars="100"/>
              <w:jc w:val="left"/>
              <w:rPr>
                <w:rFonts w:ascii="宋体" w:hAnsi="宋体" w:cs="宋体"/>
                <w:b/>
                <w:color w:val="auto"/>
                <w:kern w:val="0"/>
                <w:szCs w:val="21"/>
                <w:highlight w:val="none"/>
              </w:rPr>
            </w:pPr>
            <w:r>
              <w:rPr>
                <w:rFonts w:ascii="宋体" w:hAnsi="宋体" w:cs="宋体"/>
                <w:b/>
                <w:color w:val="auto"/>
                <w:kern w:val="0"/>
                <w:szCs w:val="21"/>
                <w:highlight w:val="none"/>
              </w:rPr>
              <w:t>（1</w:t>
            </w:r>
            <w:r>
              <w:rPr>
                <w:rFonts w:hint="eastAsia" w:ascii="宋体" w:hAnsi="宋体" w:cs="宋体"/>
                <w:b/>
                <w:color w:val="auto"/>
                <w:kern w:val="0"/>
                <w:szCs w:val="21"/>
                <w:highlight w:val="none"/>
              </w:rPr>
              <w:t>）采用现金方式</w:t>
            </w:r>
          </w:p>
          <w:p>
            <w:pPr>
              <w:widowControl/>
              <w:ind w:firstLine="525" w:firstLineChars="250"/>
              <w:jc w:val="left"/>
              <w:rPr>
                <w:rFonts w:ascii="宋体" w:hAnsi="宋体" w:cs="宋体"/>
                <w:b/>
                <w:color w:val="auto"/>
                <w:kern w:val="0"/>
                <w:szCs w:val="21"/>
                <w:highlight w:val="none"/>
              </w:rPr>
            </w:pPr>
            <w:r>
              <w:rPr>
                <w:rFonts w:hint="eastAsia" w:ascii="宋体" w:hAnsi="宋体" w:cs="宋体"/>
                <w:color w:val="auto"/>
                <w:kern w:val="0"/>
                <w:szCs w:val="21"/>
                <w:highlight w:val="none"/>
              </w:rPr>
              <w:t>1）必须从投标人的基本账户汇至招标人指定的账户及账号。</w:t>
            </w:r>
          </w:p>
          <w:p>
            <w:pPr>
              <w:widowControl/>
              <w:ind w:left="239" w:leftChars="114" w:firstLine="420" w:firstLineChars="200"/>
              <w:jc w:val="left"/>
              <w:rPr>
                <w:rFonts w:ascii="宋体" w:hAnsi="Calibri" w:cs="宋体"/>
                <w:color w:val="auto"/>
                <w:kern w:val="0"/>
                <w:szCs w:val="21"/>
                <w:highlight w:val="none"/>
              </w:rPr>
            </w:pPr>
            <w:r>
              <w:rPr>
                <w:rFonts w:hint="eastAsia" w:ascii="宋体" w:hAnsi="宋体" w:cs="宋体"/>
                <w:color w:val="auto"/>
                <w:kern w:val="0"/>
                <w:szCs w:val="21"/>
                <w:highlight w:val="none"/>
              </w:rPr>
              <w:t>保证金账号：</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ind w:left="239" w:leftChars="114" w:firstLine="420" w:firstLineChars="200"/>
              <w:jc w:val="left"/>
              <w:rPr>
                <w:rFonts w:ascii="宋体" w:hAnsi="Calibri" w:cs="宋体"/>
                <w:color w:val="auto"/>
                <w:kern w:val="0"/>
                <w:szCs w:val="21"/>
                <w:highlight w:val="none"/>
              </w:rPr>
            </w:pPr>
            <w:r>
              <w:rPr>
                <w:rFonts w:hint="eastAsia" w:ascii="宋体" w:hAnsi="宋体" w:cs="宋体"/>
                <w:color w:val="auto"/>
                <w:kern w:val="0"/>
                <w:szCs w:val="21"/>
                <w:highlight w:val="none"/>
              </w:rPr>
              <w:t>账户名称：</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ind w:left="239" w:leftChars="114"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开户银行：</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ind w:left="239" w:leftChars="114" w:firstLine="420" w:firstLineChars="200"/>
              <w:jc w:val="left"/>
              <w:rPr>
                <w:rFonts w:ascii="宋体" w:hAnsi="Calibri" w:cs="宋体"/>
                <w:color w:val="auto"/>
                <w:kern w:val="0"/>
                <w:szCs w:val="21"/>
                <w:highlight w:val="none"/>
              </w:rPr>
            </w:pPr>
            <w:r>
              <w:rPr>
                <w:rFonts w:hint="eastAsia" w:ascii="宋体" w:hAnsi="Calibri" w:cs="宋体"/>
                <w:color w:val="auto"/>
                <w:kern w:val="0"/>
                <w:szCs w:val="21"/>
                <w:highlight w:val="none"/>
              </w:rPr>
              <w:t>其他要求：</w:t>
            </w:r>
            <w:r>
              <w:rPr>
                <w:rFonts w:hint="eastAsia" w:ascii="宋体" w:hAnsi="宋体" w:cs="宋体"/>
                <w:color w:val="auto"/>
                <w:kern w:val="0"/>
                <w:szCs w:val="21"/>
                <w:highlight w:val="none"/>
                <w:u w:val="single"/>
                <w:lang w:val="en-US" w:eastAsia="zh-CN"/>
              </w:rPr>
              <w:t xml:space="preserve">              </w:t>
            </w:r>
            <w:r>
              <w:rPr>
                <w:rFonts w:hint="eastAsia" w:ascii="宋体" w:hAnsi="Calibri" w:cs="宋体"/>
                <w:color w:val="auto"/>
                <w:kern w:val="0"/>
                <w:szCs w:val="21"/>
                <w:highlight w:val="none"/>
              </w:rPr>
              <w:t>。</w:t>
            </w:r>
          </w:p>
          <w:p>
            <w:pPr>
              <w:widowControl/>
              <w:ind w:firstLine="525" w:firstLineChars="250"/>
              <w:jc w:val="left"/>
              <w:rPr>
                <w:rFonts w:ascii="宋体" w:hAnsi="Calibri" w:cs="宋体"/>
                <w:color w:val="auto"/>
                <w:kern w:val="0"/>
                <w:szCs w:val="21"/>
                <w:highlight w:val="none"/>
              </w:rPr>
            </w:pPr>
            <w:r>
              <w:rPr>
                <w:rFonts w:hint="eastAsia" w:ascii="宋体" w:hAnsi="宋体" w:cs="宋体"/>
                <w:color w:val="auto"/>
                <w:kern w:val="0"/>
                <w:szCs w:val="21"/>
                <w:highlight w:val="none"/>
              </w:rPr>
              <w:t>2）</w:t>
            </w:r>
            <w:r>
              <w:rPr>
                <w:rFonts w:ascii="宋体" w:hAnsi="宋体" w:cs="宋体"/>
                <w:color w:val="auto"/>
                <w:kern w:val="0"/>
                <w:szCs w:val="21"/>
                <w:highlight w:val="none"/>
              </w:rPr>
              <w:t>基本账户</w:t>
            </w:r>
            <w:r>
              <w:rPr>
                <w:rFonts w:hint="eastAsia" w:ascii="宋体" w:hAnsi="宋体" w:cs="宋体"/>
                <w:color w:val="auto"/>
                <w:kern w:val="0"/>
                <w:szCs w:val="21"/>
                <w:highlight w:val="none"/>
              </w:rPr>
              <w:t>信息将以投标人办理交易主体注册登记所填基本账户信息为准，若投标人汇款账户与注册登记时的基本账户信息不相符，由此造成投标保证金比</w:t>
            </w:r>
            <w:r>
              <w:rPr>
                <w:rFonts w:ascii="宋体" w:hAnsi="宋体" w:cs="宋体"/>
                <w:color w:val="auto"/>
                <w:kern w:val="0"/>
                <w:szCs w:val="21"/>
                <w:highlight w:val="none"/>
              </w:rPr>
              <w:t>对</w:t>
            </w:r>
            <w:r>
              <w:rPr>
                <w:rFonts w:hint="eastAsia" w:ascii="宋体" w:hAnsi="宋体" w:cs="宋体"/>
                <w:color w:val="auto"/>
                <w:kern w:val="0"/>
                <w:szCs w:val="21"/>
                <w:highlight w:val="none"/>
              </w:rPr>
              <w:t>失败的责任由投标人自行承担。</w:t>
            </w:r>
          </w:p>
          <w:p>
            <w:pPr>
              <w:widowControl/>
              <w:ind w:left="206" w:leftChars="98" w:firstLine="315" w:firstLineChars="150"/>
              <w:jc w:val="left"/>
              <w:rPr>
                <w:rFonts w:ascii="宋体" w:hAnsi="宋体" w:cs="宋体"/>
                <w:color w:val="auto"/>
                <w:kern w:val="0"/>
                <w:szCs w:val="21"/>
                <w:highlight w:val="none"/>
              </w:rPr>
            </w:pPr>
            <w:r>
              <w:rPr>
                <w:rFonts w:hint="eastAsia" w:ascii="宋体" w:hAnsi="宋体" w:cs="宋体"/>
                <w:color w:val="auto"/>
                <w:kern w:val="0"/>
                <w:szCs w:val="21"/>
                <w:highlight w:val="none"/>
              </w:rPr>
              <w:t>3）投标保证金到账查询方法及其他要求：</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ind w:firstLine="316" w:firstLineChars="150"/>
              <w:jc w:val="left"/>
              <w:rPr>
                <w:rFonts w:ascii="宋体" w:hAnsi="宋体" w:cs="宋体"/>
                <w:b/>
                <w:color w:val="auto"/>
                <w:kern w:val="0"/>
                <w:szCs w:val="21"/>
                <w:highlight w:val="none"/>
              </w:rPr>
            </w:pPr>
            <w:r>
              <w:rPr>
                <w:rFonts w:ascii="宋体" w:hAnsi="宋体" w:cs="宋体"/>
                <w:b/>
                <w:color w:val="auto"/>
                <w:kern w:val="0"/>
                <w:szCs w:val="21"/>
                <w:highlight w:val="none"/>
              </w:rPr>
              <w:t>（2</w:t>
            </w:r>
            <w:r>
              <w:rPr>
                <w:rFonts w:hint="eastAsia" w:ascii="宋体" w:hAnsi="宋体" w:cs="宋体"/>
                <w:b/>
                <w:color w:val="auto"/>
                <w:kern w:val="0"/>
                <w:szCs w:val="21"/>
                <w:highlight w:val="none"/>
              </w:rPr>
              <w:t>）采用电子银行保函、电子担保保函、电子保险保单方式（以下简称保函、保单）</w:t>
            </w:r>
          </w:p>
          <w:p>
            <w:pPr>
              <w:widowControl/>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1）投标人须及时登录“电子交易平台”选择所投标段按系统引导的程序申请电子保函或保单。</w:t>
            </w:r>
          </w:p>
          <w:p>
            <w:pPr>
              <w:widowControl/>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ascii="宋体" w:hAnsi="宋体" w:cs="宋体"/>
                <w:color w:val="auto"/>
                <w:kern w:val="0"/>
                <w:szCs w:val="21"/>
                <w:highlight w:val="none"/>
              </w:rPr>
              <w:t>投标人</w:t>
            </w:r>
            <w:r>
              <w:rPr>
                <w:rFonts w:hint="eastAsia" w:ascii="宋体" w:hAnsi="宋体" w:cs="宋体"/>
                <w:color w:val="auto"/>
                <w:kern w:val="0"/>
                <w:szCs w:val="21"/>
                <w:highlight w:val="none"/>
              </w:rPr>
              <w:t>可在“电子交易平台”查询</w:t>
            </w:r>
            <w:r>
              <w:rPr>
                <w:rFonts w:ascii="宋体" w:hAnsi="宋体" w:cs="宋体"/>
                <w:color w:val="auto"/>
                <w:kern w:val="0"/>
                <w:szCs w:val="21"/>
                <w:highlight w:val="none"/>
              </w:rPr>
              <w:t>保函</w:t>
            </w:r>
            <w:r>
              <w:rPr>
                <w:rFonts w:hint="eastAsia" w:ascii="宋体" w:hAnsi="宋体" w:cs="宋体"/>
                <w:color w:val="auto"/>
                <w:kern w:val="0"/>
                <w:szCs w:val="21"/>
                <w:highlight w:val="none"/>
              </w:rPr>
              <w:t>或保单是否申请成功，开具成功后可下载</w:t>
            </w:r>
            <w:r>
              <w:rPr>
                <w:rFonts w:ascii="宋体" w:hAnsi="宋体" w:cs="宋体"/>
                <w:color w:val="auto"/>
                <w:kern w:val="0"/>
                <w:szCs w:val="21"/>
                <w:highlight w:val="none"/>
              </w:rPr>
              <w:t>电子保函</w:t>
            </w:r>
            <w:r>
              <w:rPr>
                <w:rFonts w:hint="eastAsia" w:ascii="宋体" w:hAnsi="宋体" w:cs="宋体"/>
                <w:color w:val="auto"/>
                <w:kern w:val="0"/>
                <w:szCs w:val="21"/>
                <w:highlight w:val="none"/>
              </w:rPr>
              <w:t>或保单</w:t>
            </w:r>
            <w:r>
              <w:rPr>
                <w:rFonts w:ascii="宋体" w:hAnsi="宋体" w:cs="宋体"/>
                <w:color w:val="auto"/>
                <w:kern w:val="0"/>
                <w:szCs w:val="21"/>
                <w:highlight w:val="none"/>
              </w:rPr>
              <w:t>。电子保函</w:t>
            </w:r>
            <w:r>
              <w:rPr>
                <w:rFonts w:hint="eastAsia" w:ascii="宋体" w:hAnsi="宋体" w:cs="宋体"/>
                <w:color w:val="auto"/>
                <w:kern w:val="0"/>
                <w:szCs w:val="21"/>
                <w:highlight w:val="none"/>
              </w:rPr>
              <w:t>或保单</w:t>
            </w:r>
            <w:r>
              <w:rPr>
                <w:rFonts w:ascii="宋体" w:hAnsi="宋体" w:cs="宋体"/>
                <w:color w:val="auto"/>
                <w:kern w:val="0"/>
                <w:szCs w:val="21"/>
                <w:highlight w:val="none"/>
              </w:rPr>
              <w:t>应</w:t>
            </w:r>
            <w:r>
              <w:rPr>
                <w:rFonts w:hint="eastAsia" w:ascii="宋体" w:hAnsi="宋体" w:cs="宋体"/>
                <w:color w:val="auto"/>
                <w:kern w:val="0"/>
                <w:szCs w:val="21"/>
                <w:highlight w:val="none"/>
              </w:rPr>
              <w:t>载明：保函或保单受益人（招标人）、标段名称、标段编号、担保内容、担保金额、保函或保单有效期等信息，检查其内容符合招标文件的相关约定后，</w:t>
            </w:r>
            <w:r>
              <w:rPr>
                <w:rFonts w:ascii="宋体" w:hAnsi="宋体" w:cs="宋体"/>
                <w:color w:val="auto"/>
                <w:kern w:val="0"/>
                <w:szCs w:val="21"/>
                <w:highlight w:val="none"/>
              </w:rPr>
              <w:t>上传至投标</w:t>
            </w:r>
            <w:r>
              <w:rPr>
                <w:rFonts w:hint="eastAsia" w:ascii="宋体" w:hAnsi="宋体" w:cs="宋体"/>
                <w:color w:val="auto"/>
                <w:kern w:val="0"/>
                <w:szCs w:val="21"/>
                <w:highlight w:val="none"/>
              </w:rPr>
              <w:t>文件的“投标保证金”栏目中。</w:t>
            </w:r>
          </w:p>
          <w:p>
            <w:pPr>
              <w:widowControl/>
              <w:snapToGrid w:val="0"/>
              <w:spacing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3）开标后，电子交易平台将自动比对投标截止时间前收到的电子保函或保单情况；评标时评标委员会可以直接在投标文件中查验电子保函或保单。</w:t>
            </w:r>
          </w:p>
        </w:tc>
      </w:tr>
      <w:tr>
        <w:tblPrEx>
          <w:tblLayout w:type="fixed"/>
          <w:tblCellMar>
            <w:top w:w="0" w:type="dxa"/>
            <w:left w:w="108" w:type="dxa"/>
            <w:bottom w:w="0" w:type="dxa"/>
            <w:right w:w="108" w:type="dxa"/>
          </w:tblCellMar>
        </w:tblPrEx>
        <w:trPr>
          <w:trHeight w:val="4769" w:hRule="atLeast"/>
        </w:trPr>
        <w:tc>
          <w:tcPr>
            <w:tcW w:w="10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00" w:lineRule="auto"/>
              <w:jc w:val="center"/>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3</w:t>
            </w:r>
          </w:p>
        </w:tc>
        <w:tc>
          <w:tcPr>
            <w:tcW w:w="216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firstLine="210" w:firstLineChars="100"/>
              <w:jc w:val="center"/>
              <w:rPr>
                <w:rFonts w:ascii="宋体" w:hAnsi="宋体" w:cs="宋体"/>
                <w:snapToGrid w:val="0"/>
                <w:color w:val="auto"/>
                <w:szCs w:val="21"/>
                <w:highlight w:val="none"/>
              </w:rPr>
            </w:pPr>
            <w:r>
              <w:rPr>
                <w:rFonts w:hint="eastAsia" w:ascii="宋体" w:hAnsi="宋体" w:cs="宋体"/>
                <w:snapToGrid w:val="0"/>
                <w:color w:val="auto"/>
                <w:szCs w:val="21"/>
                <w:highlight w:val="none"/>
              </w:rPr>
              <w:t>退还投标保证金</w:t>
            </w:r>
          </w:p>
          <w:p>
            <w:pPr>
              <w:snapToGrid w:val="0"/>
              <w:spacing w:line="300" w:lineRule="auto"/>
              <w:jc w:val="center"/>
              <w:rPr>
                <w:rFonts w:ascii="宋体" w:hAnsi="宋体" w:cs="宋体"/>
                <w:color w:val="auto"/>
                <w:szCs w:val="21"/>
                <w:highlight w:val="none"/>
              </w:rPr>
            </w:pPr>
            <w:r>
              <w:rPr>
                <w:rFonts w:hint="eastAsia" w:ascii="宋体" w:hAnsi="宋体" w:cs="宋体"/>
                <w:snapToGrid w:val="0"/>
                <w:color w:val="auto"/>
                <w:szCs w:val="21"/>
                <w:highlight w:val="none"/>
              </w:rPr>
              <w:t>及利息</w:t>
            </w:r>
          </w:p>
        </w:tc>
        <w:tc>
          <w:tcPr>
            <w:tcW w:w="5580" w:type="dxa"/>
            <w:tcBorders>
              <w:top w:val="single" w:color="auto" w:sz="4" w:space="0"/>
              <w:left w:val="single" w:color="auto" w:sz="4" w:space="0"/>
              <w:bottom w:val="single" w:color="auto" w:sz="4" w:space="0"/>
              <w:right w:val="single" w:color="auto" w:sz="4" w:space="0"/>
            </w:tcBorders>
            <w:vAlign w:val="center"/>
          </w:tcPr>
          <w:p>
            <w:pPr>
              <w:rPr>
                <w:rFonts w:ascii="Calibri" w:hAnsi="Calibri"/>
                <w:color w:val="auto"/>
                <w:szCs w:val="22"/>
                <w:highlight w:val="none"/>
              </w:rPr>
            </w:pPr>
            <w:r>
              <w:rPr>
                <w:rFonts w:ascii="宋体" w:hAnsi="宋体" w:cs="宋体"/>
                <w:color w:val="auto"/>
                <w:kern w:val="0"/>
                <w:szCs w:val="21"/>
                <w:highlight w:val="none"/>
              </w:rPr>
              <w:t>1 .</w:t>
            </w:r>
            <w:r>
              <w:rPr>
                <w:rFonts w:hint="eastAsia" w:ascii="宋体" w:hAnsi="宋体" w:cs="宋体"/>
                <w:color w:val="auto"/>
                <w:kern w:val="0"/>
                <w:szCs w:val="21"/>
                <w:highlight w:val="none"/>
              </w:rPr>
              <w:t>采用现金方式</w:t>
            </w:r>
          </w:p>
          <w:p>
            <w:pPr>
              <w:ind w:firstLine="210" w:firstLineChars="100"/>
              <w:rPr>
                <w:rFonts w:hint="eastAsia" w:ascii="Calibri" w:hAnsi="Calibri"/>
                <w:color w:val="auto"/>
                <w:szCs w:val="22"/>
                <w:highlight w:val="none"/>
              </w:rPr>
            </w:pPr>
            <w:r>
              <w:rPr>
                <w:rFonts w:hint="eastAsia" w:ascii="Calibri" w:hAnsi="Calibri"/>
                <w:color w:val="auto"/>
                <w:szCs w:val="22"/>
                <w:highlight w:val="none"/>
              </w:rPr>
              <w:t>方式一</w:t>
            </w:r>
            <w:r>
              <w:rPr>
                <w:rStyle w:val="27"/>
                <w:rFonts w:hint="eastAsia" w:ascii="Calibri" w:hAnsi="Calibri"/>
                <w:color w:val="auto"/>
                <w:szCs w:val="22"/>
                <w:highlight w:val="none"/>
              </w:rPr>
              <w:footnoteReference w:id="4"/>
            </w:r>
            <w:r>
              <w:rPr>
                <w:rFonts w:hint="eastAsia" w:ascii="Calibri" w:hAnsi="Calibri"/>
                <w:color w:val="auto"/>
                <w:szCs w:val="22"/>
                <w:highlight w:val="none"/>
              </w:rPr>
              <w:t>：</w:t>
            </w:r>
          </w:p>
          <w:p>
            <w:pPr>
              <w:ind w:firstLine="210" w:firstLineChars="100"/>
              <w:rPr>
                <w:rFonts w:hint="eastAsia" w:ascii="Calibri" w:hAnsi="Calibri"/>
                <w:color w:val="auto"/>
                <w:szCs w:val="22"/>
                <w:highlight w:val="none"/>
              </w:rPr>
            </w:pPr>
            <w:r>
              <w:rPr>
                <w:rFonts w:hint="eastAsia" w:ascii="Calibri" w:hAnsi="Calibri"/>
                <w:color w:val="auto"/>
                <w:szCs w:val="22"/>
                <w:highlight w:val="none"/>
              </w:rPr>
              <w:t>（1）计算利息的起始日期为投标截止当日，终止日期为招标人退还投标保证金日期的前一日；</w:t>
            </w:r>
          </w:p>
          <w:p>
            <w:pPr>
              <w:ind w:firstLine="210" w:firstLineChars="100"/>
              <w:rPr>
                <w:rFonts w:hint="eastAsia" w:ascii="Calibri" w:hAnsi="Calibri"/>
                <w:color w:val="auto"/>
                <w:szCs w:val="22"/>
                <w:highlight w:val="none"/>
              </w:rPr>
            </w:pPr>
            <w:r>
              <w:rPr>
                <w:rFonts w:hint="eastAsia" w:ascii="Calibri" w:hAnsi="Calibri"/>
                <w:color w:val="auto"/>
                <w:szCs w:val="22"/>
                <w:highlight w:val="none"/>
              </w:rPr>
              <w:t>（2）投标保证金的利息按照第</w:t>
            </w:r>
            <w:r>
              <w:rPr>
                <w:rFonts w:hint="eastAsia" w:ascii="Calibri" w:hAnsi="Calibri"/>
                <w:color w:val="auto"/>
                <w:szCs w:val="22"/>
                <w:highlight w:val="none"/>
                <w:lang w:eastAsia="zh-CN"/>
              </w:rPr>
              <w:t>（</w:t>
            </w:r>
            <w:r>
              <w:rPr>
                <w:rFonts w:hint="eastAsia" w:ascii="Calibri" w:hAnsi="Calibri"/>
                <w:color w:val="auto"/>
                <w:szCs w:val="22"/>
                <w:highlight w:val="none"/>
                <w:lang w:val="en-US" w:eastAsia="zh-CN"/>
              </w:rPr>
              <w:t>1</w:t>
            </w:r>
            <w:r>
              <w:rPr>
                <w:rFonts w:hint="eastAsia" w:ascii="Calibri" w:hAnsi="Calibri"/>
                <w:color w:val="auto"/>
                <w:szCs w:val="22"/>
                <w:highlight w:val="none"/>
                <w:lang w:eastAsia="zh-CN"/>
              </w:rPr>
              <w:t>）</w:t>
            </w:r>
            <w:r>
              <w:rPr>
                <w:rFonts w:hint="eastAsia" w:ascii="Calibri" w:hAnsi="Calibri"/>
                <w:color w:val="auto"/>
                <w:szCs w:val="22"/>
                <w:highlight w:val="none"/>
              </w:rPr>
              <w:t>款所述计息时间段内招标人指定汇入银行公告的活期存款利率计付，并扣除招标人汇款手续费；</w:t>
            </w:r>
          </w:p>
          <w:p>
            <w:pPr>
              <w:ind w:firstLine="210" w:firstLineChars="100"/>
              <w:rPr>
                <w:rFonts w:hint="eastAsia" w:ascii="Calibri" w:hAnsi="Calibri"/>
                <w:color w:val="auto"/>
                <w:szCs w:val="22"/>
                <w:highlight w:val="none"/>
              </w:rPr>
            </w:pPr>
            <w:r>
              <w:rPr>
                <w:rFonts w:hint="eastAsia" w:ascii="Calibri" w:hAnsi="Calibri"/>
                <w:color w:val="auto"/>
                <w:szCs w:val="22"/>
                <w:highlight w:val="none"/>
              </w:rPr>
              <w:t>（3）利息金额计算至分位，分以下尾数四舍五入；</w:t>
            </w:r>
          </w:p>
          <w:p>
            <w:pPr>
              <w:ind w:firstLine="210" w:firstLineChars="100"/>
              <w:rPr>
                <w:rFonts w:hint="eastAsia" w:ascii="Calibri" w:hAnsi="Calibri"/>
                <w:color w:val="auto"/>
                <w:szCs w:val="22"/>
                <w:highlight w:val="none"/>
              </w:rPr>
            </w:pPr>
            <w:r>
              <w:rPr>
                <w:rFonts w:hint="eastAsia" w:ascii="Calibri" w:hAnsi="Calibri"/>
                <w:color w:val="auto"/>
                <w:szCs w:val="22"/>
                <w:highlight w:val="none"/>
              </w:rPr>
              <w:t>（4）投标人在接到招标人的退还投标保证金通知后，在提交相关资料的同时须按通知规定将利息等额增值税发票提交给招标人，如未提供利息等额增值税发票将视为投标人主动放弃，不予支付利息。</w:t>
            </w:r>
          </w:p>
          <w:p>
            <w:pPr>
              <w:ind w:firstLine="210" w:firstLineChars="100"/>
              <w:rPr>
                <w:rFonts w:hint="eastAsia" w:ascii="Calibri" w:hAnsi="Calibri"/>
                <w:color w:val="auto"/>
                <w:szCs w:val="22"/>
                <w:highlight w:val="none"/>
              </w:rPr>
            </w:pPr>
            <w:r>
              <w:rPr>
                <w:rFonts w:hint="eastAsia" w:ascii="Calibri" w:hAnsi="Calibri"/>
                <w:color w:val="auto"/>
                <w:szCs w:val="22"/>
                <w:highlight w:val="none"/>
              </w:rPr>
              <w:t>方式二</w:t>
            </w:r>
            <w:r>
              <w:rPr>
                <w:rStyle w:val="27"/>
                <w:rFonts w:hint="eastAsia" w:ascii="Calibri" w:hAnsi="Calibri"/>
                <w:color w:val="auto"/>
                <w:szCs w:val="22"/>
                <w:highlight w:val="none"/>
              </w:rPr>
              <w:footnoteReference w:id="5"/>
            </w:r>
            <w:r>
              <w:rPr>
                <w:rFonts w:hint="eastAsia" w:ascii="Calibri" w:hAnsi="Calibri"/>
                <w:color w:val="auto"/>
                <w:szCs w:val="22"/>
                <w:highlight w:val="none"/>
              </w:rPr>
              <w:t>：利息退还方式按</w:t>
            </w:r>
            <w:r>
              <w:rPr>
                <w:rFonts w:hint="eastAsia" w:ascii="Calibri" w:hAnsi="Calibri"/>
                <w:color w:val="auto"/>
                <w:szCs w:val="22"/>
                <w:highlight w:val="none"/>
                <w:u w:val="single"/>
              </w:rPr>
              <w:t xml:space="preserve">      </w:t>
            </w:r>
            <w:r>
              <w:rPr>
                <w:rFonts w:hint="eastAsia" w:ascii="Calibri" w:hAnsi="Calibri"/>
                <w:color w:val="auto"/>
                <w:szCs w:val="22"/>
                <w:highlight w:val="none"/>
                <w:u w:val="single"/>
                <w:lang w:val="en-US" w:eastAsia="zh-CN"/>
              </w:rPr>
              <w:t xml:space="preserve"> 公共资源交易中心</w:t>
            </w:r>
            <w:r>
              <w:rPr>
                <w:rFonts w:hint="eastAsia" w:ascii="Calibri" w:hAnsi="Calibri"/>
                <w:color w:val="auto"/>
                <w:szCs w:val="22"/>
                <w:highlight w:val="none"/>
              </w:rPr>
              <w:t>规定办理。</w:t>
            </w:r>
          </w:p>
          <w:p>
            <w:pPr>
              <w:snapToGrid w:val="0"/>
              <w:spacing w:line="300" w:lineRule="auto"/>
              <w:ind w:left="315" w:hanging="315" w:hangingChars="150"/>
              <w:rPr>
                <w:color w:val="auto"/>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rPr>
              <w:t xml:space="preserve"> 采用电子保函或保单方式，不产生利息，电子保函或保单到期</w:t>
            </w:r>
            <w:r>
              <w:rPr>
                <w:rFonts w:ascii="宋体" w:hAnsi="宋体" w:cs="宋体"/>
                <w:color w:val="auto"/>
                <w:kern w:val="0"/>
                <w:szCs w:val="21"/>
                <w:highlight w:val="none"/>
              </w:rPr>
              <w:t>后自动失效</w:t>
            </w:r>
            <w:r>
              <w:rPr>
                <w:rFonts w:hint="eastAsia" w:ascii="宋体" w:hAnsi="宋体" w:cs="宋体"/>
                <w:color w:val="auto"/>
                <w:kern w:val="0"/>
                <w:szCs w:val="21"/>
                <w:highlight w:val="none"/>
              </w:rPr>
              <w:t>。</w:t>
            </w:r>
          </w:p>
        </w:tc>
      </w:tr>
      <w:tr>
        <w:tblPrEx>
          <w:tblLayout w:type="fixed"/>
          <w:tblCellMar>
            <w:top w:w="0" w:type="dxa"/>
            <w:left w:w="108" w:type="dxa"/>
            <w:bottom w:w="0" w:type="dxa"/>
            <w:right w:w="108" w:type="dxa"/>
          </w:tblCellMar>
        </w:tblPrEx>
        <w:trPr>
          <w:trHeight w:val="718" w:hRule="atLeast"/>
        </w:trPr>
        <w:tc>
          <w:tcPr>
            <w:tcW w:w="10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00" w:lineRule="auto"/>
              <w:jc w:val="center"/>
              <w:rPr>
                <w:rFonts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5</w:t>
            </w:r>
            <w:r>
              <w:rPr>
                <w:rFonts w:hint="eastAsia" w:ascii="宋体" w:hAnsi="宋体" w:cs="宋体"/>
                <w:color w:val="auto"/>
                <w:szCs w:val="21"/>
                <w:highlight w:val="none"/>
              </w:rPr>
              <w:t>.</w:t>
            </w:r>
            <w:r>
              <w:rPr>
                <w:rFonts w:hint="eastAsia" w:cs="宋体"/>
                <w:color w:val="auto"/>
                <w:szCs w:val="21"/>
                <w:highlight w:val="none"/>
              </w:rPr>
              <w:t>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olor w:val="auto"/>
                <w:szCs w:val="21"/>
                <w:highlight w:val="none"/>
              </w:rPr>
              <w:t>类似工程</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olor w:val="auto"/>
                <w:szCs w:val="21"/>
                <w:highlight w:val="none"/>
              </w:rPr>
            </w:pPr>
            <w:r>
              <w:rPr>
                <w:rFonts w:hint="eastAsia"/>
                <w:color w:val="auto"/>
                <w:highlight w:val="none"/>
              </w:rPr>
              <w:t>本招标文件中所有“类似工程</w:t>
            </w:r>
            <w:r>
              <w:rPr>
                <w:rStyle w:val="27"/>
                <w:rFonts w:hint="eastAsia"/>
                <w:color w:val="auto"/>
                <w:highlight w:val="none"/>
              </w:rPr>
              <w:footnoteReference w:id="6"/>
            </w:r>
            <w:r>
              <w:rPr>
                <w:rFonts w:hint="eastAsia"/>
                <w:color w:val="auto"/>
                <w:highlight w:val="none"/>
              </w:rPr>
              <w:t>”是指：</w:t>
            </w:r>
            <w:r>
              <w:rPr>
                <w:rFonts w:hint="eastAsia" w:ascii="宋体" w:hAnsi="宋体" w:cs="宋体"/>
                <w:color w:val="auto"/>
                <w:szCs w:val="21"/>
                <w:highlight w:val="none"/>
                <w:u w:val="single"/>
              </w:rPr>
              <w:t>高标准农田建设</w:t>
            </w:r>
            <w:r>
              <w:rPr>
                <w:rFonts w:hint="eastAsia" w:ascii="宋体" w:hAnsi="宋体" w:cs="宋体"/>
                <w:color w:val="auto"/>
                <w:szCs w:val="21"/>
                <w:highlight w:val="none"/>
                <w:u w:val="single"/>
                <w:lang w:eastAsia="zh-CN"/>
              </w:rPr>
              <w:t>项目</w:t>
            </w:r>
            <w:r>
              <w:rPr>
                <w:rFonts w:hint="eastAsia" w:ascii="宋体" w:hAnsi="宋体" w:cs="宋体"/>
                <w:color w:val="auto"/>
                <w:szCs w:val="21"/>
                <w:highlight w:val="none"/>
                <w:u w:val="single"/>
              </w:rPr>
              <w:t>、农田水利</w:t>
            </w:r>
            <w:r>
              <w:rPr>
                <w:rFonts w:hint="eastAsia" w:ascii="宋体" w:hAnsi="宋体" w:cs="宋体"/>
                <w:color w:val="auto"/>
                <w:szCs w:val="21"/>
                <w:highlight w:val="none"/>
                <w:u w:val="single"/>
                <w:lang w:eastAsia="zh-CN"/>
              </w:rPr>
              <w:t>项目</w:t>
            </w:r>
            <w:r>
              <w:rPr>
                <w:rFonts w:hint="eastAsia" w:ascii="宋体" w:hAnsi="宋体" w:cs="宋体"/>
                <w:color w:val="auto"/>
                <w:szCs w:val="21"/>
                <w:highlight w:val="none"/>
                <w:u w:val="single"/>
              </w:rPr>
              <w:t>、农业综合开发</w:t>
            </w:r>
            <w:r>
              <w:rPr>
                <w:rFonts w:hint="eastAsia" w:ascii="宋体" w:hAnsi="宋体" w:cs="宋体"/>
                <w:color w:val="auto"/>
                <w:szCs w:val="21"/>
                <w:highlight w:val="none"/>
                <w:u w:val="single"/>
                <w:lang w:eastAsia="zh-CN"/>
              </w:rPr>
              <w:t>项目</w:t>
            </w:r>
            <w:r>
              <w:rPr>
                <w:rFonts w:hint="eastAsia" w:ascii="宋体" w:hAnsi="宋体" w:cs="宋体"/>
                <w:color w:val="auto"/>
                <w:szCs w:val="21"/>
                <w:highlight w:val="none"/>
                <w:u w:val="single"/>
              </w:rPr>
              <w:t>等</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3.6</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是否允许递交</w:t>
            </w:r>
          </w:p>
          <w:p>
            <w:pPr>
              <w:snapToGrid w:val="0"/>
              <w:spacing w:line="300" w:lineRule="auto"/>
              <w:jc w:val="center"/>
              <w:rPr>
                <w:rFonts w:ascii="宋体" w:hAnsi="宋体" w:cs="宋体"/>
                <w:color w:val="auto"/>
                <w:szCs w:val="21"/>
                <w:highlight w:val="none"/>
              </w:rPr>
            </w:pPr>
            <w:r>
              <w:rPr>
                <w:rFonts w:hint="eastAsia"/>
                <w:color w:val="auto"/>
                <w:highlight w:val="none"/>
              </w:rPr>
              <w:t>备选投标方案</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r>
              <w:rPr>
                <w:rFonts w:hint="eastAsia"/>
                <w:color w:val="auto"/>
                <w:highlight w:val="none"/>
              </w:rPr>
              <w:t>不允许</w:t>
            </w:r>
          </w:p>
        </w:tc>
      </w:tr>
      <w:tr>
        <w:tblPrEx>
          <w:tblLayout w:type="fixed"/>
          <w:tblCellMar>
            <w:top w:w="0" w:type="dxa"/>
            <w:left w:w="108" w:type="dxa"/>
            <w:bottom w:w="0" w:type="dxa"/>
            <w:right w:w="108" w:type="dxa"/>
          </w:tblCellMar>
        </w:tblPrEx>
        <w:trPr>
          <w:trHeight w:val="711"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67" w:name="_Toc221950069"/>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投标截止时间</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kern w:val="0"/>
                <w:szCs w:val="21"/>
                <w:highlight w:val="none"/>
              </w:rPr>
            </w:pPr>
            <w:r>
              <w:rPr>
                <w:rFonts w:hint="eastAsia" w:ascii="宋体" w:hAnsi="宋体" w:cs="宋体"/>
                <w:color w:val="auto"/>
                <w:kern w:val="0"/>
                <w:szCs w:val="21"/>
                <w:highlight w:val="none"/>
                <w:u w:val="single"/>
              </w:rPr>
              <w:t>　　　</w:t>
            </w:r>
            <w:r>
              <w:rPr>
                <w:rFonts w:hint="eastAsia" w:ascii="宋体" w:hAnsi="宋体" w:cs="宋体"/>
                <w:color w:val="auto"/>
                <w:kern w:val="0"/>
                <w:szCs w:val="21"/>
                <w:highlight w:val="none"/>
              </w:rPr>
              <w:t>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月</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日时分</w:t>
            </w:r>
          </w:p>
        </w:tc>
      </w:tr>
      <w:bookmarkEnd w:id="367"/>
      <w:tr>
        <w:tblPrEx>
          <w:tblLayout w:type="fixed"/>
          <w:tblCellMar>
            <w:top w:w="0" w:type="dxa"/>
            <w:left w:w="108" w:type="dxa"/>
            <w:bottom w:w="0" w:type="dxa"/>
            <w:right w:w="108" w:type="dxa"/>
          </w:tblCellMar>
        </w:tblPrEx>
        <w:trPr>
          <w:trHeight w:val="835"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3</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olor w:val="auto"/>
                <w:szCs w:val="21"/>
                <w:highlight w:val="none"/>
              </w:rPr>
              <w:t>是否退还投标文件</w:t>
            </w:r>
          </w:p>
        </w:tc>
        <w:tc>
          <w:tcPr>
            <w:tcW w:w="5580" w:type="dxa"/>
            <w:tcBorders>
              <w:top w:val="single" w:color="auto" w:sz="4" w:space="0"/>
              <w:left w:val="single" w:color="auto" w:sz="4" w:space="0"/>
              <w:bottom w:val="single" w:color="auto" w:sz="4" w:space="0"/>
              <w:right w:val="single" w:color="auto" w:sz="4" w:space="0"/>
            </w:tcBorders>
            <w:vAlign w:val="center"/>
          </w:tcPr>
          <w:p>
            <w:pPr>
              <w:pStyle w:val="10"/>
              <w:topLinePunct/>
              <w:snapToGrid w:val="0"/>
              <w:spacing w:line="300" w:lineRule="auto"/>
              <w:rPr>
                <w:color w:val="auto"/>
                <w:sz w:val="21"/>
                <w:szCs w:val="21"/>
                <w:highlight w:val="none"/>
              </w:rPr>
            </w:pPr>
            <w:r>
              <w:rPr>
                <w:color w:val="auto"/>
                <w:sz w:val="32"/>
                <w:szCs w:val="32"/>
                <w:highlight w:val="none"/>
              </w:rPr>
              <w:t>□</w:t>
            </w:r>
            <w:r>
              <w:rPr>
                <w:rFonts w:hint="eastAsia"/>
                <w:color w:val="auto"/>
                <w:szCs w:val="21"/>
                <w:highlight w:val="none"/>
              </w:rPr>
              <w:t>否</w:t>
            </w:r>
            <w:r>
              <w:rPr>
                <w:color w:val="auto"/>
                <w:szCs w:val="21"/>
                <w:highlight w:val="none"/>
              </w:rPr>
              <w:t>；</w:t>
            </w:r>
          </w:p>
          <w:p>
            <w:pPr>
              <w:adjustRightInd w:val="0"/>
              <w:snapToGrid w:val="0"/>
              <w:spacing w:line="300" w:lineRule="auto"/>
              <w:rPr>
                <w:rFonts w:ascii="宋体" w:hAnsi="宋体" w:cs="宋体"/>
                <w:color w:val="auto"/>
                <w:szCs w:val="21"/>
                <w:highlight w:val="none"/>
              </w:rPr>
            </w:pPr>
            <w:r>
              <w:rPr>
                <w:color w:val="auto"/>
                <w:sz w:val="32"/>
                <w:szCs w:val="32"/>
                <w:highlight w:val="none"/>
              </w:rPr>
              <w:t>□</w:t>
            </w:r>
            <w:r>
              <w:rPr>
                <w:rFonts w:hint="eastAsia"/>
                <w:color w:val="auto"/>
                <w:szCs w:val="21"/>
                <w:highlight w:val="none"/>
              </w:rPr>
              <w:t>是</w:t>
            </w:r>
            <w:r>
              <w:rPr>
                <w:color w:val="auto"/>
                <w:szCs w:val="21"/>
                <w:highlight w:val="none"/>
              </w:rPr>
              <w:t>，</w:t>
            </w:r>
            <w:r>
              <w:rPr>
                <w:rFonts w:hint="eastAsia"/>
                <w:color w:val="auto"/>
                <w:highlight w:val="none"/>
              </w:rPr>
              <w:t>退还安排：</w:t>
            </w:r>
            <w:r>
              <w:rPr>
                <w:rFonts w:hint="eastAsia" w:ascii="宋体" w:hAnsi="宋体" w:cs="宋体"/>
                <w:color w:val="auto"/>
                <w:kern w:val="0"/>
                <w:szCs w:val="21"/>
                <w:highlight w:val="none"/>
                <w:u w:val="single"/>
              </w:rPr>
              <w:t>　　　</w:t>
            </w:r>
          </w:p>
        </w:tc>
      </w:tr>
      <w:tr>
        <w:tblPrEx>
          <w:tblLayout w:type="fixed"/>
          <w:tblCellMar>
            <w:top w:w="0" w:type="dxa"/>
            <w:left w:w="108" w:type="dxa"/>
            <w:bottom w:w="0" w:type="dxa"/>
            <w:right w:w="108" w:type="dxa"/>
          </w:tblCellMar>
        </w:tblPrEx>
        <w:trPr>
          <w:trHeight w:val="692" w:hRule="atLeast"/>
        </w:trPr>
        <w:tc>
          <w:tcPr>
            <w:tcW w:w="1008" w:type="dxa"/>
            <w:tcBorders>
              <w:top w:val="single" w:color="auto" w:sz="4" w:space="0"/>
              <w:left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68" w:name="_Toc221950071"/>
            <w:r>
              <w:rPr>
                <w:rFonts w:hint="eastAsia" w:cs="宋体"/>
                <w:color w:val="auto"/>
                <w:szCs w:val="21"/>
                <w:highlight w:val="none"/>
              </w:rPr>
              <w:t>5</w:t>
            </w:r>
            <w:r>
              <w:rPr>
                <w:rFonts w:hint="eastAsia" w:ascii="宋体" w:hAnsi="宋体" w:cs="宋体"/>
                <w:color w:val="auto"/>
                <w:szCs w:val="21"/>
                <w:highlight w:val="none"/>
              </w:rPr>
              <w:t>.</w:t>
            </w:r>
            <w:r>
              <w:rPr>
                <w:rFonts w:hint="eastAsia" w:cs="宋体"/>
                <w:color w:val="auto"/>
                <w:szCs w:val="21"/>
                <w:highlight w:val="none"/>
              </w:rPr>
              <w:t>1</w:t>
            </w:r>
            <w:bookmarkEnd w:id="368"/>
            <w:r>
              <w:rPr>
                <w:rFonts w:hint="eastAsia" w:ascii="宋体" w:hAnsi="宋体" w:cs="宋体"/>
                <w:color w:val="auto"/>
                <w:szCs w:val="21"/>
                <w:highlight w:val="none"/>
              </w:rPr>
              <w:t>.</w:t>
            </w:r>
            <w:r>
              <w:rPr>
                <w:rFonts w:hint="eastAsia" w:cs="宋体"/>
                <w:color w:val="auto"/>
                <w:szCs w:val="21"/>
                <w:highlight w:val="none"/>
              </w:rPr>
              <w:t>2</w:t>
            </w:r>
          </w:p>
        </w:tc>
        <w:tc>
          <w:tcPr>
            <w:tcW w:w="2160" w:type="dxa"/>
            <w:tcBorders>
              <w:top w:val="single" w:color="auto" w:sz="4" w:space="0"/>
              <w:left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69" w:name="_Toc221950072"/>
            <w:r>
              <w:rPr>
                <w:rFonts w:hint="eastAsia" w:ascii="宋体" w:hAnsi="宋体" w:cs="宋体"/>
                <w:color w:val="auto"/>
                <w:szCs w:val="21"/>
                <w:highlight w:val="none"/>
              </w:rPr>
              <w:t>组织开标地点</w:t>
            </w:r>
            <w:bookmarkEnd w:id="369"/>
          </w:p>
        </w:tc>
        <w:tc>
          <w:tcPr>
            <w:tcW w:w="5580" w:type="dxa"/>
            <w:tcBorders>
              <w:top w:val="single" w:color="auto" w:sz="4" w:space="0"/>
              <w:left w:val="single" w:color="auto" w:sz="4" w:space="0"/>
              <w:right w:val="single" w:color="auto" w:sz="4" w:space="0"/>
            </w:tcBorders>
            <w:vAlign w:val="center"/>
          </w:tcPr>
          <w:p>
            <w:pPr>
              <w:adjustRightInd w:val="0"/>
              <w:snapToGrid w:val="0"/>
              <w:spacing w:line="300" w:lineRule="auto"/>
              <w:rPr>
                <w:rFonts w:ascii="宋体" w:hAnsi="宋体" w:cs="宋体"/>
                <w:color w:val="auto"/>
                <w:szCs w:val="21"/>
                <w:highlight w:val="none"/>
              </w:rPr>
            </w:pPr>
            <w:r>
              <w:rPr>
                <w:rFonts w:hint="eastAsia"/>
                <w:color w:val="auto"/>
                <w:szCs w:val="21"/>
                <w:highlight w:val="none"/>
                <w:u w:val="single"/>
              </w:rPr>
              <w:t>同递交投标文件地点</w:t>
            </w:r>
          </w:p>
        </w:tc>
      </w:tr>
      <w:tr>
        <w:tblPrEx>
          <w:tblLayout w:type="fixed"/>
          <w:tblCellMar>
            <w:top w:w="0" w:type="dxa"/>
            <w:left w:w="108" w:type="dxa"/>
            <w:bottom w:w="0" w:type="dxa"/>
            <w:right w:w="108" w:type="dxa"/>
          </w:tblCellMar>
        </w:tblPrEx>
        <w:trPr>
          <w:trHeight w:val="125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olor w:val="auto"/>
                <w:szCs w:val="21"/>
                <w:highlight w:val="none"/>
              </w:rPr>
            </w:pPr>
            <w:r>
              <w:rPr>
                <w:rFonts w:hint="eastAsia"/>
                <w:color w:val="auto"/>
                <w:szCs w:val="21"/>
                <w:highlight w:val="none"/>
              </w:rPr>
              <w:t>5</w:t>
            </w:r>
            <w:r>
              <w:rPr>
                <w:rFonts w:hint="eastAsia" w:ascii="宋体" w:hAnsi="宋体"/>
                <w:color w:val="auto"/>
                <w:szCs w:val="21"/>
                <w:highlight w:val="none"/>
              </w:rPr>
              <w:t>.</w:t>
            </w:r>
            <w:r>
              <w:rPr>
                <w:rFonts w:hint="eastAsia"/>
                <w:color w:val="auto"/>
                <w:szCs w:val="21"/>
                <w:highlight w:val="none"/>
              </w:rPr>
              <w:t>2</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6</w:t>
            </w:r>
            <w:r>
              <w:rPr>
                <w:rFonts w:hint="eastAsia" w:ascii="宋体" w:hAnsi="宋体"/>
                <w:color w:val="auto"/>
                <w:szCs w:val="21"/>
                <w:highlight w:val="none"/>
              </w:rPr>
              <w:t>）</w:t>
            </w:r>
          </w:p>
        </w:tc>
        <w:tc>
          <w:tcPr>
            <w:tcW w:w="2160" w:type="dxa"/>
            <w:tcBorders>
              <w:top w:val="single" w:color="auto" w:sz="4" w:space="0"/>
              <w:left w:val="single" w:color="auto" w:sz="4" w:space="0"/>
              <w:right w:val="single" w:color="auto" w:sz="4" w:space="0"/>
            </w:tcBorders>
            <w:vAlign w:val="center"/>
          </w:tcPr>
          <w:p>
            <w:pPr>
              <w:snapToGrid w:val="0"/>
              <w:spacing w:line="300" w:lineRule="auto"/>
              <w:jc w:val="center"/>
              <w:rPr>
                <w:rFonts w:ascii="宋体" w:hAnsi="宋体"/>
                <w:color w:val="auto"/>
                <w:szCs w:val="21"/>
                <w:highlight w:val="none"/>
              </w:rPr>
            </w:pPr>
            <w:r>
              <w:rPr>
                <w:rFonts w:hint="eastAsia" w:ascii="宋体" w:hAnsi="宋体"/>
                <w:color w:val="auto"/>
                <w:szCs w:val="21"/>
                <w:highlight w:val="none"/>
              </w:rPr>
              <w:t>解密时间</w:t>
            </w:r>
          </w:p>
        </w:tc>
        <w:tc>
          <w:tcPr>
            <w:tcW w:w="5580" w:type="dxa"/>
            <w:tcBorders>
              <w:top w:val="single" w:color="auto" w:sz="4" w:space="0"/>
              <w:left w:val="single" w:color="auto" w:sz="4" w:space="0"/>
              <w:right w:val="single" w:color="auto" w:sz="4" w:space="0"/>
            </w:tcBorders>
            <w:vAlign w:val="center"/>
          </w:tcPr>
          <w:p>
            <w:pPr>
              <w:snapToGrid w:val="0"/>
              <w:spacing w:line="300" w:lineRule="auto"/>
              <w:rPr>
                <w:rFonts w:ascii="宋体" w:hAnsi="宋体"/>
                <w:color w:val="auto"/>
                <w:szCs w:val="21"/>
                <w:highlight w:val="none"/>
              </w:rPr>
            </w:pPr>
            <w:r>
              <w:rPr>
                <w:rFonts w:hint="eastAsia" w:ascii="宋体" w:hAnsi="宋体"/>
                <w:color w:val="auto"/>
                <w:szCs w:val="21"/>
                <w:highlight w:val="none"/>
              </w:rPr>
              <w:t>招标人发出解密提示后</w:t>
            </w:r>
            <w:r>
              <w:rPr>
                <w:rFonts w:hint="eastAsia"/>
                <w:color w:val="auto"/>
                <w:szCs w:val="21"/>
                <w:highlight w:val="none"/>
                <w:u w:val="single"/>
              </w:rPr>
              <w:t>30</w:t>
            </w:r>
            <w:r>
              <w:rPr>
                <w:rFonts w:hint="eastAsia" w:ascii="宋体" w:hAnsi="宋体"/>
                <w:color w:val="auto"/>
                <w:szCs w:val="21"/>
                <w:highlight w:val="none"/>
              </w:rPr>
              <w:t>分钟内</w:t>
            </w:r>
          </w:p>
          <w:p>
            <w:pPr>
              <w:snapToGrid w:val="0"/>
              <w:spacing w:line="300" w:lineRule="auto"/>
              <w:rPr>
                <w:rFonts w:ascii="宋体" w:hAnsi="宋体"/>
                <w:color w:val="auto"/>
                <w:szCs w:val="21"/>
                <w:highlight w:val="none"/>
              </w:rPr>
            </w:pPr>
            <w:r>
              <w:rPr>
                <w:rFonts w:hint="eastAsia" w:ascii="宋体" w:hAnsi="宋体"/>
                <w:color w:val="auto"/>
                <w:szCs w:val="21"/>
                <w:highlight w:val="none"/>
              </w:rPr>
              <w:t>（招标人应充分考虑标段数和投标人数量，合理设置解密时间，该时间不应少于</w:t>
            </w:r>
            <w:r>
              <w:rPr>
                <w:rFonts w:hint="eastAsia" w:ascii="宋体" w:hAnsi="宋体"/>
                <w:color w:val="auto"/>
                <w:szCs w:val="21"/>
                <w:highlight w:val="none"/>
                <w:lang w:val="en-US" w:eastAsia="zh-CN"/>
              </w:rPr>
              <w:t>3</w:t>
            </w:r>
            <w:r>
              <w:rPr>
                <w:rFonts w:hint="eastAsia"/>
                <w:color w:val="auto"/>
                <w:szCs w:val="21"/>
                <w:highlight w:val="none"/>
              </w:rPr>
              <w:t>0</w:t>
            </w:r>
            <w:r>
              <w:rPr>
                <w:rFonts w:hint="eastAsia" w:ascii="宋体" w:hAnsi="宋体"/>
                <w:color w:val="auto"/>
                <w:szCs w:val="21"/>
                <w:highlight w:val="none"/>
              </w:rPr>
              <w:t>分钟）</w:t>
            </w:r>
          </w:p>
        </w:tc>
      </w:tr>
      <w:tr>
        <w:tblPrEx>
          <w:tblLayout w:type="fixed"/>
          <w:tblCellMar>
            <w:top w:w="0" w:type="dxa"/>
            <w:left w:w="108" w:type="dxa"/>
            <w:bottom w:w="0" w:type="dxa"/>
            <w:right w:w="108" w:type="dxa"/>
          </w:tblCellMar>
        </w:tblPrEx>
        <w:trPr>
          <w:trHeight w:val="926"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70" w:name="_Toc221950075"/>
            <w:r>
              <w:rPr>
                <w:rFonts w:hint="eastAsia" w:cs="宋体"/>
                <w:color w:val="auto"/>
                <w:szCs w:val="21"/>
                <w:highlight w:val="none"/>
              </w:rPr>
              <w:t>6</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bookmarkEnd w:id="370"/>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71" w:name="_Toc221950076"/>
            <w:r>
              <w:rPr>
                <w:rFonts w:hint="eastAsia" w:ascii="宋体" w:hAnsi="宋体" w:cs="宋体"/>
                <w:color w:val="auto"/>
                <w:szCs w:val="21"/>
                <w:highlight w:val="none"/>
              </w:rPr>
              <w:t>评标委员会的组建</w:t>
            </w:r>
            <w:bookmarkEnd w:id="371"/>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color w:val="auto"/>
                <w:highlight w:val="none"/>
              </w:rPr>
            </w:pPr>
            <w:r>
              <w:rPr>
                <w:rFonts w:hint="eastAsia"/>
                <w:color w:val="auto"/>
                <w:highlight w:val="none"/>
              </w:rPr>
              <w:t>评标委员会构成：</w:t>
            </w:r>
            <w:r>
              <w:rPr>
                <w:rFonts w:hint="eastAsia" w:ascii="宋体" w:hAnsi="宋体" w:cs="宋体"/>
                <w:color w:val="auto"/>
                <w:szCs w:val="21"/>
                <w:highlight w:val="none"/>
                <w:u w:val="single"/>
                <w:lang w:val="en-US" w:eastAsia="zh-CN"/>
              </w:rPr>
              <w:t xml:space="preserve">   </w:t>
            </w:r>
            <w:r>
              <w:rPr>
                <w:rFonts w:hint="eastAsia"/>
                <w:color w:val="auto"/>
                <w:highlight w:val="none"/>
              </w:rPr>
              <w:t>人，其中招标人代表</w:t>
            </w:r>
            <w:r>
              <w:rPr>
                <w:rFonts w:hint="eastAsia" w:ascii="宋体" w:hAnsi="宋体" w:cs="宋体"/>
                <w:color w:val="auto"/>
                <w:szCs w:val="21"/>
                <w:highlight w:val="none"/>
                <w:u w:val="single"/>
                <w:lang w:val="en-US" w:eastAsia="zh-CN"/>
              </w:rPr>
              <w:t xml:space="preserve">  </w:t>
            </w:r>
            <w:r>
              <w:rPr>
                <w:rFonts w:hint="eastAsia"/>
                <w:color w:val="auto"/>
                <w:highlight w:val="none"/>
              </w:rPr>
              <w:t>人，专家</w:t>
            </w:r>
            <w:r>
              <w:rPr>
                <w:rFonts w:hint="eastAsia" w:ascii="宋体" w:hAnsi="宋体" w:cs="宋体"/>
                <w:color w:val="auto"/>
                <w:szCs w:val="21"/>
                <w:highlight w:val="none"/>
                <w:u w:val="single"/>
                <w:lang w:val="en-US" w:eastAsia="zh-CN"/>
              </w:rPr>
              <w:t xml:space="preserve">  </w:t>
            </w:r>
            <w:r>
              <w:rPr>
                <w:rFonts w:hint="eastAsia"/>
                <w:color w:val="auto"/>
                <w:highlight w:val="none"/>
              </w:rPr>
              <w:t>人；</w:t>
            </w:r>
          </w:p>
          <w:p>
            <w:pPr>
              <w:snapToGrid w:val="0"/>
              <w:spacing w:line="300" w:lineRule="auto"/>
              <w:rPr>
                <w:color w:val="auto"/>
                <w:highlight w:val="none"/>
              </w:rPr>
            </w:pPr>
            <w:r>
              <w:rPr>
                <w:rFonts w:hint="eastAsia"/>
                <w:color w:val="auto"/>
                <w:highlight w:val="none"/>
              </w:rPr>
              <w:t>评标专家确定方式：</w:t>
            </w:r>
            <w:r>
              <w:rPr>
                <w:rFonts w:hint="eastAsia"/>
                <w:color w:val="auto"/>
                <w:highlight w:val="none"/>
                <w:u w:val="single"/>
                <w:lang w:val="en-US" w:eastAsia="zh-CN"/>
              </w:rPr>
              <w:t xml:space="preserve">   </w:t>
            </w:r>
            <w:r>
              <w:rPr>
                <w:rFonts w:hint="eastAsia"/>
                <w:color w:val="auto"/>
                <w:highlight w:val="none"/>
                <w:u w:val="single"/>
              </w:rPr>
              <w:t>。</w:t>
            </w:r>
          </w:p>
        </w:tc>
      </w:tr>
      <w:tr>
        <w:tblPrEx>
          <w:tblLayout w:type="fixed"/>
          <w:tblCellMar>
            <w:top w:w="0" w:type="dxa"/>
            <w:left w:w="108" w:type="dxa"/>
            <w:bottom w:w="0" w:type="dxa"/>
            <w:right w:w="108" w:type="dxa"/>
          </w:tblCellMar>
        </w:tblPrEx>
        <w:trPr>
          <w:trHeight w:val="986"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6</w:t>
            </w:r>
            <w:r>
              <w:rPr>
                <w:rFonts w:hint="eastAsia" w:ascii="宋体" w:hAnsi="宋体" w:cs="宋体"/>
                <w:color w:val="auto"/>
                <w:szCs w:val="21"/>
                <w:highlight w:val="none"/>
              </w:rPr>
              <w:t>.</w:t>
            </w:r>
            <w:r>
              <w:rPr>
                <w:rFonts w:hint="eastAsia" w:cs="宋体"/>
                <w:color w:val="auto"/>
                <w:szCs w:val="21"/>
                <w:highlight w:val="none"/>
              </w:rPr>
              <w:t>4</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评标结果公示媒介</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szCs w:val="21"/>
                <w:u w:val="single"/>
              </w:rPr>
            </w:pPr>
            <w:r>
              <w:rPr>
                <w:rFonts w:hint="eastAsia"/>
                <w:szCs w:val="21"/>
                <w:u w:val="single"/>
              </w:rPr>
              <w:t>XXX</w:t>
            </w:r>
            <w:r>
              <w:rPr>
                <w:rFonts w:hint="eastAsia"/>
                <w:u w:val="single"/>
              </w:rPr>
              <w:t>交易平台</w:t>
            </w:r>
            <w:r>
              <w:rPr>
                <w:rFonts w:hint="eastAsia"/>
                <w:szCs w:val="21"/>
                <w:u w:val="single"/>
              </w:rPr>
              <w:t>、广东省招标投标监管网、中国招标投标公共服务平台（适用于公开招标项目）</w:t>
            </w:r>
          </w:p>
          <w:p>
            <w:pPr>
              <w:snapToGrid w:val="0"/>
              <w:spacing w:line="300" w:lineRule="auto"/>
              <w:rPr>
                <w:rFonts w:hint="eastAsia" w:ascii="宋体" w:hAnsi="宋体" w:eastAsia="宋体"/>
                <w:color w:val="auto"/>
                <w:szCs w:val="21"/>
                <w:highlight w:val="none"/>
                <w:lang w:eastAsia="zh-CN"/>
              </w:rPr>
            </w:pPr>
            <w:r>
              <w:rPr>
                <w:rFonts w:hint="eastAsia" w:ascii="宋体" w:hAnsi="宋体"/>
                <w:color w:val="000000"/>
                <w:szCs w:val="21"/>
              </w:rPr>
              <w:t>通过邮件进行发布（</w:t>
            </w:r>
            <w:r>
              <w:rPr>
                <w:rFonts w:hint="eastAsia"/>
                <w:szCs w:val="21"/>
                <w:u w:val="single"/>
              </w:rPr>
              <w:t>适用于邀请招标项目</w:t>
            </w:r>
            <w:r>
              <w:rPr>
                <w:rFonts w:hint="eastAsia" w:ascii="宋体" w:hAnsi="宋体"/>
                <w:color w:val="000000"/>
                <w:szCs w:val="21"/>
              </w:rPr>
              <w:t>）</w:t>
            </w:r>
          </w:p>
        </w:tc>
      </w:tr>
      <w:tr>
        <w:tblPrEx>
          <w:tblLayout w:type="fixed"/>
          <w:tblCellMar>
            <w:top w:w="0" w:type="dxa"/>
            <w:left w:w="108" w:type="dxa"/>
            <w:bottom w:w="0" w:type="dxa"/>
            <w:right w:w="108" w:type="dxa"/>
          </w:tblCellMar>
        </w:tblPrEx>
        <w:trPr>
          <w:trHeight w:val="838"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7.1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是否授权评标委员会确定中标人</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color w:val="auto"/>
                <w:highlight w:val="none"/>
              </w:rPr>
            </w:pPr>
            <w:r>
              <w:rPr>
                <w:rFonts w:hint="eastAsia"/>
                <w:color w:val="auto"/>
                <w:highlight w:val="none"/>
              </w:rPr>
              <w:t>□是</w:t>
            </w:r>
          </w:p>
          <w:p>
            <w:pPr>
              <w:snapToGrid w:val="0"/>
              <w:spacing w:line="300" w:lineRule="auto"/>
              <w:rPr>
                <w:color w:val="auto"/>
                <w:highlight w:val="none"/>
                <w:u w:val="single"/>
              </w:rPr>
            </w:pPr>
            <w:r>
              <w:rPr>
                <w:rFonts w:hint="eastAsia"/>
                <w:color w:val="auto"/>
                <w:highlight w:val="none"/>
              </w:rPr>
              <w:t>□否，推荐的中标候选人数：</w:t>
            </w:r>
            <w:r>
              <w:rPr>
                <w:rFonts w:hint="eastAsia"/>
                <w:color w:val="auto"/>
                <w:highlight w:val="none"/>
                <w:u w:val="single"/>
              </w:rPr>
              <w:t xml:space="preserve"> 不超过3人       </w:t>
            </w:r>
          </w:p>
        </w:tc>
      </w:tr>
      <w:tr>
        <w:tblPrEx>
          <w:tblLayout w:type="fixed"/>
          <w:tblCellMar>
            <w:top w:w="0" w:type="dxa"/>
            <w:left w:w="108" w:type="dxa"/>
            <w:bottom w:w="0" w:type="dxa"/>
            <w:right w:w="108" w:type="dxa"/>
          </w:tblCellMar>
        </w:tblPrEx>
        <w:trPr>
          <w:trHeight w:val="2111"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72" w:name="_Toc221950079"/>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bookmarkEnd w:id="372"/>
            <w:r>
              <w:rPr>
                <w:rFonts w:hint="eastAsia" w:cs="宋体"/>
                <w:color w:val="auto"/>
                <w:szCs w:val="21"/>
                <w:highlight w:val="none"/>
              </w:rPr>
              <w:t>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bookmarkStart w:id="373" w:name="_Toc221950080"/>
            <w:r>
              <w:rPr>
                <w:rFonts w:hint="eastAsia" w:ascii="宋体" w:hAnsi="宋体" w:cs="宋体"/>
                <w:color w:val="auto"/>
                <w:szCs w:val="21"/>
                <w:highlight w:val="none"/>
              </w:rPr>
              <w:t>履约</w:t>
            </w:r>
            <w:bookmarkEnd w:id="373"/>
            <w:r>
              <w:rPr>
                <w:rFonts w:hint="eastAsia" w:ascii="宋体" w:hAnsi="宋体" w:cs="宋体"/>
                <w:color w:val="auto"/>
                <w:szCs w:val="21"/>
                <w:highlight w:val="none"/>
              </w:rPr>
              <w:t>保证金</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color w:val="auto"/>
                <w:szCs w:val="21"/>
                <w:highlight w:val="none"/>
              </w:rPr>
            </w:pPr>
            <w:bookmarkStart w:id="374" w:name="_Toc221950081"/>
            <w:r>
              <w:rPr>
                <w:rFonts w:hint="eastAsia"/>
                <w:color w:val="auto"/>
                <w:highlight w:val="none"/>
              </w:rPr>
              <w:t>□</w:t>
            </w:r>
            <w:r>
              <w:rPr>
                <w:rFonts w:hint="eastAsia"/>
                <w:color w:val="auto"/>
                <w:szCs w:val="21"/>
                <w:highlight w:val="none"/>
              </w:rPr>
              <w:t>不提交</w:t>
            </w:r>
          </w:p>
          <w:p>
            <w:pPr>
              <w:snapToGrid w:val="0"/>
              <w:spacing w:line="300" w:lineRule="auto"/>
              <w:rPr>
                <w:rFonts w:ascii="宋体" w:hAnsi="宋体" w:cs="宋体"/>
                <w:b/>
                <w:color w:val="auto"/>
                <w:szCs w:val="21"/>
                <w:highlight w:val="none"/>
              </w:rPr>
            </w:pPr>
            <w:r>
              <w:rPr>
                <w:rFonts w:hint="eastAsia"/>
                <w:color w:val="auto"/>
                <w:highlight w:val="none"/>
              </w:rPr>
              <w:t>□</w:t>
            </w:r>
            <w:r>
              <w:rPr>
                <w:rFonts w:hint="eastAsia"/>
                <w:color w:val="auto"/>
                <w:szCs w:val="21"/>
                <w:highlight w:val="none"/>
              </w:rPr>
              <w:t>提交，</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履约保证金的形式：</w:t>
            </w:r>
            <w:bookmarkEnd w:id="374"/>
            <w:r>
              <w:rPr>
                <w:rFonts w:hint="eastAsia" w:ascii="宋体" w:hAnsi="宋体" w:cs="宋体"/>
                <w:color w:val="auto"/>
                <w:szCs w:val="21"/>
                <w:highlight w:val="none"/>
                <w:u w:val="single"/>
                <w:lang w:val="en-US" w:eastAsia="zh-CN"/>
              </w:rPr>
              <w:t xml:space="preserve">    </w:t>
            </w:r>
          </w:p>
          <w:p>
            <w:pPr>
              <w:snapToGrid w:val="0"/>
              <w:spacing w:line="300" w:lineRule="auto"/>
              <w:rPr>
                <w:rFonts w:ascii="宋体" w:hAnsi="宋体" w:cs="宋体"/>
                <w:color w:val="auto"/>
                <w:szCs w:val="21"/>
                <w:highlight w:val="none"/>
                <w:u w:val="single"/>
              </w:rPr>
            </w:pPr>
            <w:bookmarkStart w:id="375" w:name="_Toc221950082"/>
            <w:r>
              <w:rPr>
                <w:rFonts w:hint="eastAsia" w:ascii="宋体" w:hAnsi="宋体" w:cs="宋体"/>
                <w:color w:val="auto"/>
                <w:szCs w:val="21"/>
                <w:highlight w:val="none"/>
              </w:rPr>
              <w:t>履约保证金的金额</w:t>
            </w:r>
            <w:r>
              <w:rPr>
                <w:rStyle w:val="27"/>
                <w:rFonts w:hint="eastAsia" w:ascii="宋体" w:hAnsi="宋体" w:cs="宋体"/>
                <w:color w:val="auto"/>
                <w:szCs w:val="21"/>
                <w:highlight w:val="none"/>
              </w:rPr>
              <w:footnoteReference w:id="7"/>
            </w:r>
            <w:r>
              <w:rPr>
                <w:rFonts w:hint="eastAsia" w:ascii="宋体" w:hAnsi="宋体" w:cs="宋体"/>
                <w:color w:val="auto"/>
                <w:szCs w:val="21"/>
                <w:highlight w:val="none"/>
              </w:rPr>
              <w:t>：</w:t>
            </w:r>
            <w:bookmarkEnd w:id="375"/>
            <w:r>
              <w:rPr>
                <w:rFonts w:hint="eastAsia" w:ascii="宋体" w:hAnsi="宋体" w:cs="宋体"/>
                <w:color w:val="auto"/>
                <w:szCs w:val="21"/>
                <w:highlight w:val="none"/>
                <w:u w:val="single"/>
                <w:lang w:val="en-US" w:eastAsia="zh-CN"/>
              </w:rPr>
              <w:t xml:space="preserve">    </w:t>
            </w:r>
          </w:p>
          <w:p>
            <w:pPr>
              <w:spacing w:line="288" w:lineRule="auto"/>
              <w:rPr>
                <w:color w:val="auto"/>
                <w:highlight w:val="none"/>
              </w:rPr>
            </w:pPr>
            <w:r>
              <w:rPr>
                <w:rFonts w:hint="eastAsia"/>
                <w:color w:val="auto"/>
                <w:highlight w:val="none"/>
              </w:rPr>
              <w:t xml:space="preserve">□其他形式 </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 xml:space="preserve">履约保证金的金额：合同总价的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 %</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highlight w:val="none"/>
              </w:rPr>
              <w:t>9</w:t>
            </w:r>
            <w:r>
              <w:rPr>
                <w:rFonts w:hint="eastAsia" w:ascii="宋体" w:hAnsi="宋体" w:cs="宋体"/>
                <w:color w:val="auto"/>
                <w:highlight w:val="none"/>
              </w:rPr>
              <w:t>.</w:t>
            </w:r>
            <w:r>
              <w:rPr>
                <w:rFonts w:hint="eastAsia" w:cs="宋体"/>
                <w:color w:val="auto"/>
                <w:highlight w:val="none"/>
              </w:rPr>
              <w:t>5</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highlight w:val="none"/>
              </w:rPr>
              <w:t>行政监督部门</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名    称：</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地    址：</w:t>
            </w:r>
          </w:p>
          <w:p>
            <w:pPr>
              <w:snapToGrid w:val="0"/>
              <w:spacing w:line="300" w:lineRule="auto"/>
              <w:rPr>
                <w:rFonts w:ascii="宋体" w:hAnsi="宋体" w:cs="宋体"/>
                <w:color w:val="auto"/>
                <w:szCs w:val="21"/>
                <w:highlight w:val="none"/>
                <w:u w:val="single"/>
              </w:rPr>
            </w:pPr>
            <w:r>
              <w:rPr>
                <w:rFonts w:hint="eastAsia" w:ascii="宋体" w:hAnsi="宋体" w:cs="宋体"/>
                <w:color w:val="auto"/>
                <w:szCs w:val="21"/>
                <w:highlight w:val="none"/>
              </w:rPr>
              <w:t>电    话：</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传    真：</w:t>
            </w:r>
          </w:p>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邮政编码：</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10</w:t>
            </w:r>
          </w:p>
        </w:tc>
        <w:tc>
          <w:tcPr>
            <w:tcW w:w="7740"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auto"/>
              <w:ind w:firstLine="462" w:firstLineChars="220"/>
              <w:jc w:val="center"/>
              <w:rPr>
                <w:rFonts w:ascii="宋体" w:hAnsi="宋体" w:cs="宋体"/>
                <w:color w:val="auto"/>
                <w:szCs w:val="21"/>
                <w:highlight w:val="none"/>
              </w:rPr>
            </w:pPr>
            <w:r>
              <w:rPr>
                <w:rFonts w:hint="eastAsia" w:ascii="宋体" w:hAnsi="宋体" w:cs="宋体"/>
                <w:color w:val="auto"/>
                <w:szCs w:val="21"/>
                <w:highlight w:val="none"/>
              </w:rPr>
              <w:t>需要补充的其他内容</w:t>
            </w:r>
          </w:p>
        </w:tc>
      </w:tr>
      <w:tr>
        <w:tblPrEx>
          <w:tblLayout w:type="fixed"/>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cs="宋体"/>
                <w:color w:val="auto"/>
                <w:szCs w:val="21"/>
                <w:highlight w:val="none"/>
              </w:rPr>
            </w:pPr>
            <w:r>
              <w:rPr>
                <w:rFonts w:hint="eastAsia" w:cs="宋体"/>
                <w:color w:val="auto"/>
                <w:szCs w:val="21"/>
                <w:highlight w:val="none"/>
              </w:rPr>
              <w:t>10.1</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多标段投标</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   共分</w:t>
            </w:r>
            <w:r>
              <w:rPr>
                <w:rFonts w:hint="eastAsia" w:cs="宋体"/>
                <w:color w:val="auto"/>
                <w:szCs w:val="21"/>
                <w:highlight w:val="none"/>
              </w:rPr>
              <w:t>1</w:t>
            </w:r>
            <w:r>
              <w:rPr>
                <w:rFonts w:hint="eastAsia" w:ascii="宋体" w:hAnsi="宋体" w:cs="宋体"/>
                <w:color w:val="auto"/>
                <w:szCs w:val="21"/>
                <w:highlight w:val="none"/>
              </w:rPr>
              <w:t>个标段。</w:t>
            </w:r>
          </w:p>
          <w:p>
            <w:pPr>
              <w:snapToGrid w:val="0"/>
              <w:spacing w:line="300" w:lineRule="auto"/>
              <w:ind w:firstLine="71" w:firstLineChars="34"/>
              <w:rPr>
                <w:rFonts w:ascii="宋体" w:hAnsi="宋体" w:cs="宋体"/>
                <w:color w:val="auto"/>
                <w:szCs w:val="21"/>
                <w:highlight w:val="none"/>
              </w:rPr>
            </w:pPr>
            <w:r>
              <w:rPr>
                <w:rFonts w:hint="eastAsia" w:ascii="宋体" w:hAnsi="宋体" w:cs="宋体"/>
                <w:color w:val="auto"/>
                <w:szCs w:val="21"/>
                <w:highlight w:val="none"/>
              </w:rPr>
              <w:t>□   共分（ ）个标段，按下列规定进行：</w:t>
            </w:r>
          </w:p>
          <w:p>
            <w:pPr>
              <w:snapToGrid w:val="0"/>
              <w:spacing w:line="300" w:lineRule="auto"/>
              <w:rPr>
                <w:rFonts w:ascii="宋体" w:hAnsi="宋体"/>
                <w:color w:val="auto"/>
                <w:szCs w:val="21"/>
                <w:highlight w:val="none"/>
              </w:rPr>
            </w:pPr>
            <w:r>
              <w:rPr>
                <w:rFonts w:hint="eastAsia" w:ascii="宋体" w:hAnsi="宋体"/>
                <w:color w:val="auto"/>
                <w:szCs w:val="21"/>
                <w:highlight w:val="none"/>
              </w:rPr>
              <w:t>投标人可同时对本次招标标段中的个标段投标。招标人按下列原则选择中标人：</w:t>
            </w:r>
          </w:p>
          <w:p>
            <w:pPr>
              <w:snapToGrid w:val="0"/>
              <w:spacing w:line="300" w:lineRule="auto"/>
              <w:ind w:firstLine="210" w:firstLineChars="100"/>
              <w:rPr>
                <w:rFonts w:ascii="宋体" w:hAnsi="宋体"/>
                <w:color w:val="auto"/>
                <w:szCs w:val="21"/>
                <w:highlight w:val="none"/>
              </w:rPr>
            </w:pPr>
            <w:r>
              <w:rPr>
                <w:rFonts w:hint="eastAsia" w:ascii="宋体" w:hAnsi="宋体"/>
                <w:color w:val="auto"/>
                <w:szCs w:val="21"/>
                <w:highlight w:val="none"/>
              </w:rPr>
              <w:t>□招标人按标段择优选择中标人。</w:t>
            </w:r>
          </w:p>
          <w:p>
            <w:pPr>
              <w:snapToGrid w:val="0"/>
              <w:spacing w:line="300" w:lineRule="auto"/>
              <w:ind w:firstLine="210" w:firstLineChars="100"/>
              <w:rPr>
                <w:rFonts w:ascii="宋体" w:hAnsi="宋体"/>
                <w:color w:val="auto"/>
                <w:szCs w:val="21"/>
                <w:highlight w:val="none"/>
              </w:rPr>
            </w:pPr>
            <w:r>
              <w:rPr>
                <w:rFonts w:hint="eastAsia" w:ascii="宋体" w:hAnsi="宋体"/>
                <w:color w:val="auto"/>
                <w:szCs w:val="21"/>
                <w:highlight w:val="none"/>
              </w:rPr>
              <w:t>□投标人最多只允许中标个标段。如果同一投标人在多个标段中均排序第一，</w:t>
            </w:r>
            <w:r>
              <w:rPr>
                <w:rFonts w:ascii="宋体" w:hAnsi="宋体"/>
                <w:color w:val="auto"/>
                <w:szCs w:val="21"/>
                <w:highlight w:val="none"/>
              </w:rPr>
              <w:t>推荐中标候选人顺序为：</w:t>
            </w:r>
          </w:p>
          <w:p>
            <w:pPr>
              <w:snapToGrid w:val="0"/>
              <w:spacing w:line="300" w:lineRule="auto"/>
              <w:rPr>
                <w:rFonts w:ascii="宋体" w:hAnsi="宋体"/>
                <w:color w:val="auto"/>
                <w:szCs w:val="21"/>
                <w:highlight w:val="none"/>
              </w:rPr>
            </w:pPr>
            <w:r>
              <w:rPr>
                <w:rFonts w:hint="eastAsia" w:ascii="宋体" w:hAnsi="宋体"/>
                <w:color w:val="auto"/>
                <w:szCs w:val="21"/>
                <w:highlight w:val="none"/>
              </w:rPr>
              <w:t xml:space="preserve">     □</w:t>
            </w:r>
            <w:r>
              <w:rPr>
                <w:rFonts w:ascii="宋体" w:hAnsi="宋体"/>
                <w:color w:val="auto"/>
                <w:szCs w:val="21"/>
                <w:highlight w:val="none"/>
              </w:rPr>
              <w:t>按照标段顺序，投标人在前面标段被推荐为第一中标候选人后，所投其他标段将不再被推荐为中标候选人。</w:t>
            </w:r>
          </w:p>
          <w:p>
            <w:pPr>
              <w:snapToGrid w:val="0"/>
              <w:spacing w:line="300" w:lineRule="auto"/>
              <w:rPr>
                <w:rFonts w:ascii="宋体" w:hAnsi="宋体"/>
                <w:color w:val="auto"/>
                <w:szCs w:val="21"/>
                <w:highlight w:val="none"/>
              </w:rPr>
            </w:pPr>
            <w:r>
              <w:rPr>
                <w:rFonts w:hint="eastAsia" w:ascii="宋体" w:hAnsi="宋体"/>
                <w:color w:val="auto"/>
                <w:szCs w:val="21"/>
                <w:highlight w:val="none"/>
              </w:rPr>
              <w:t xml:space="preserve">     □</w:t>
            </w:r>
            <w:r>
              <w:rPr>
                <w:rFonts w:ascii="宋体" w:hAnsi="宋体"/>
                <w:color w:val="auto"/>
                <w:szCs w:val="21"/>
                <w:highlight w:val="none"/>
              </w:rPr>
              <w:t>按照标段最高</w:t>
            </w:r>
            <w:r>
              <w:rPr>
                <w:rFonts w:hint="eastAsia" w:ascii="宋体" w:hAnsi="宋体"/>
                <w:color w:val="auto"/>
                <w:szCs w:val="21"/>
                <w:highlight w:val="none"/>
              </w:rPr>
              <w:t>投标</w:t>
            </w:r>
            <w:r>
              <w:rPr>
                <w:rFonts w:ascii="宋体" w:hAnsi="宋体"/>
                <w:color w:val="auto"/>
                <w:szCs w:val="21"/>
                <w:highlight w:val="none"/>
              </w:rPr>
              <w:t>限价从大到小的顺序，投标人在最高</w:t>
            </w:r>
            <w:r>
              <w:rPr>
                <w:rFonts w:hint="eastAsia" w:ascii="宋体" w:hAnsi="宋体"/>
                <w:color w:val="auto"/>
                <w:szCs w:val="21"/>
                <w:highlight w:val="none"/>
              </w:rPr>
              <w:t>投标</w:t>
            </w:r>
            <w:r>
              <w:rPr>
                <w:rFonts w:ascii="宋体" w:hAnsi="宋体"/>
                <w:color w:val="auto"/>
                <w:szCs w:val="21"/>
                <w:highlight w:val="none"/>
              </w:rPr>
              <w:t>限价大的标段被推荐为第一中标候选人后，所投其他标段将不再被推荐为中标候选人。</w:t>
            </w:r>
          </w:p>
          <w:p>
            <w:pPr>
              <w:snapToGrid w:val="0"/>
              <w:spacing w:line="300" w:lineRule="auto"/>
              <w:ind w:left="315" w:leftChars="150" w:firstLine="210" w:firstLineChars="100"/>
              <w:rPr>
                <w:rFonts w:ascii="宋体" w:hAnsi="宋体" w:cs="宋体"/>
                <w:color w:val="auto"/>
                <w:szCs w:val="21"/>
                <w:highlight w:val="none"/>
              </w:rPr>
            </w:pPr>
            <w:r>
              <w:rPr>
                <w:rFonts w:hint="eastAsia"/>
                <w:color w:val="auto"/>
                <w:highlight w:val="none"/>
              </w:rPr>
              <w:t>□</w:t>
            </w:r>
            <w:r>
              <w:rPr>
                <w:rFonts w:hint="eastAsia" w:ascii="宋体" w:hAnsi="宋体" w:cs="宋体"/>
                <w:color w:val="auto"/>
                <w:szCs w:val="21"/>
                <w:highlight w:val="none"/>
                <w:u w:val="single"/>
                <w:lang w:val="en-US" w:eastAsia="zh-CN"/>
              </w:rPr>
              <w:t xml:space="preserve">    </w:t>
            </w:r>
            <w:r>
              <w:rPr>
                <w:rFonts w:hint="eastAsia"/>
                <w:color w:val="auto"/>
                <w:highlight w:val="none"/>
              </w:rPr>
              <w:t>。</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cs="宋体"/>
                <w:color w:val="auto"/>
                <w:szCs w:val="21"/>
                <w:highlight w:val="none"/>
              </w:rPr>
              <w:t>10</w:t>
            </w:r>
            <w:r>
              <w:rPr>
                <w:rFonts w:hint="eastAsia" w:ascii="宋体" w:hAnsi="宋体" w:cs="宋体"/>
                <w:color w:val="auto"/>
                <w:szCs w:val="21"/>
                <w:highlight w:val="none"/>
              </w:rPr>
              <w:t>.</w:t>
            </w:r>
            <w:r>
              <w:rPr>
                <w:rFonts w:hint="eastAsia" w:cs="宋体"/>
                <w:color w:val="auto"/>
                <w:szCs w:val="21"/>
                <w:highlight w:val="none"/>
              </w:rPr>
              <w:t>2</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中标后须提交的</w:t>
            </w:r>
          </w:p>
          <w:p>
            <w:pPr>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纸质投标文件</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ascii="宋体" w:hAnsi="宋体" w:cs="宋体"/>
                <w:color w:val="auto"/>
                <w:szCs w:val="21"/>
                <w:highlight w:val="none"/>
                <w:u w:val="single"/>
              </w:rPr>
            </w:pPr>
            <w:r>
              <w:rPr>
                <w:rFonts w:hint="eastAsia"/>
                <w:color w:val="auto"/>
                <w:highlight w:val="none"/>
              </w:rPr>
              <w:t>份数：</w:t>
            </w:r>
            <w:r>
              <w:rPr>
                <w:rFonts w:hint="eastAsia"/>
                <w:color w:val="auto"/>
                <w:highlight w:val="none"/>
                <w:u w:val="single"/>
                <w:lang w:val="en-US" w:eastAsia="zh-CN"/>
              </w:rPr>
              <w:t xml:space="preserve">   </w:t>
            </w:r>
            <w:r>
              <w:rPr>
                <w:rFonts w:hint="eastAsia"/>
                <w:color w:val="auto"/>
                <w:highlight w:val="none"/>
              </w:rPr>
              <w:t>，中标人提交的纸质投标文件应当与导入电子开标评标系统的电子投标文件内容一致。</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hint="eastAsia" w:eastAsia="宋体"/>
                <w:color w:val="auto"/>
                <w:highlight w:val="none"/>
                <w:lang w:eastAsia="zh-CN"/>
              </w:rPr>
            </w:pPr>
            <w:r>
              <w:rPr>
                <w:rFonts w:hint="eastAsia"/>
                <w:color w:val="auto"/>
                <w:highlight w:val="none"/>
              </w:rPr>
              <w:t>10.</w:t>
            </w:r>
            <w:r>
              <w:rPr>
                <w:rFonts w:hint="eastAsia"/>
                <w:color w:val="auto"/>
                <w:highlight w:val="none"/>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交易平台</w:t>
            </w:r>
          </w:p>
          <w:p>
            <w:pPr>
              <w:snapToGrid w:val="0"/>
              <w:spacing w:line="300" w:lineRule="auto"/>
              <w:jc w:val="center"/>
              <w:rPr>
                <w:color w:val="auto"/>
                <w:highlight w:val="none"/>
              </w:rPr>
            </w:pPr>
            <w:r>
              <w:rPr>
                <w:rFonts w:hint="eastAsia"/>
                <w:color w:val="auto"/>
                <w:highlight w:val="none"/>
              </w:rPr>
              <w:t>信息服务费</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rFonts w:hint="eastAsia" w:eastAsia="宋体"/>
                <w:color w:val="auto"/>
                <w:highlight w:val="none"/>
                <w:lang w:eastAsia="zh-CN"/>
              </w:rPr>
            </w:pPr>
            <w:r>
              <w:rPr>
                <w:rFonts w:hint="eastAsia"/>
                <w:color w:val="auto"/>
                <w:highlight w:val="none"/>
              </w:rPr>
              <w:t>根据有关文件规定，</w:t>
            </w:r>
            <w:r>
              <w:rPr>
                <w:rFonts w:hint="eastAsia"/>
                <w:szCs w:val="21"/>
              </w:rPr>
              <w:t>由</w:t>
            </w:r>
            <w:r>
              <w:rPr>
                <w:rFonts w:hint="eastAsia"/>
                <w:szCs w:val="21"/>
                <w:u w:val="single"/>
              </w:rPr>
              <w:t>（</w:t>
            </w:r>
            <w:r>
              <w:rPr>
                <w:sz w:val="32"/>
                <w:szCs w:val="32"/>
                <w:u w:val="single"/>
              </w:rPr>
              <w:t>□</w:t>
            </w:r>
            <w:r>
              <w:rPr>
                <w:rFonts w:hint="eastAsia"/>
                <w:szCs w:val="21"/>
                <w:u w:val="single"/>
              </w:rPr>
              <w:t>招标人、</w:t>
            </w:r>
            <w:r>
              <w:rPr>
                <w:sz w:val="32"/>
                <w:szCs w:val="32"/>
                <w:u w:val="single"/>
              </w:rPr>
              <w:t>□</w:t>
            </w:r>
            <w:r>
              <w:rPr>
                <w:rFonts w:hint="eastAsia"/>
                <w:szCs w:val="21"/>
                <w:u w:val="single"/>
              </w:rPr>
              <w:t>中标人）</w:t>
            </w:r>
            <w:r>
              <w:rPr>
                <w:rFonts w:hint="eastAsia"/>
                <w:color w:val="auto"/>
                <w:highlight w:val="none"/>
              </w:rPr>
              <w:t>向</w:t>
            </w:r>
            <w:r>
              <w:rPr>
                <w:rFonts w:hint="eastAsia"/>
                <w:color w:val="auto"/>
                <w:highlight w:val="none"/>
                <w:lang w:val="en-US" w:eastAsia="zh-CN"/>
              </w:rPr>
              <w:t>电子交易平台</w:t>
            </w:r>
            <w:r>
              <w:rPr>
                <w:rFonts w:hint="eastAsia"/>
                <w:color w:val="auto"/>
                <w:highlight w:val="none"/>
              </w:rPr>
              <w:t>交纳</w:t>
            </w:r>
            <w:r>
              <w:rPr>
                <w:rFonts w:hint="eastAsia"/>
                <w:color w:val="auto"/>
                <w:highlight w:val="none"/>
                <w:lang w:val="en-US" w:eastAsia="zh-CN"/>
              </w:rPr>
              <w:t>信息</w:t>
            </w:r>
            <w:r>
              <w:rPr>
                <w:rFonts w:hint="eastAsia"/>
                <w:color w:val="auto"/>
                <w:highlight w:val="none"/>
              </w:rPr>
              <w:t>服务费</w:t>
            </w:r>
            <w:r>
              <w:rPr>
                <w:rFonts w:hint="eastAsia"/>
                <w:color w:val="auto"/>
                <w:highlight w:val="none"/>
                <w:lang w:eastAsia="zh-CN"/>
              </w:rPr>
              <w:t>。</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hint="eastAsia" w:eastAsia="宋体"/>
                <w:color w:val="auto"/>
                <w:highlight w:val="none"/>
                <w:lang w:eastAsia="zh-CN"/>
              </w:rPr>
            </w:pPr>
            <w:r>
              <w:rPr>
                <w:rFonts w:hint="eastAsia"/>
                <w:color w:val="auto"/>
                <w:highlight w:val="none"/>
              </w:rPr>
              <w:t>10.</w:t>
            </w:r>
            <w:r>
              <w:rPr>
                <w:rFonts w:hint="eastAsia"/>
                <w:color w:val="auto"/>
                <w:highlight w:val="none"/>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ascii="宋体" w:hAnsi="宋体"/>
                <w:color w:val="auto"/>
                <w:szCs w:val="21"/>
                <w:highlight w:val="none"/>
              </w:rPr>
            </w:pPr>
            <w:r>
              <w:rPr>
                <w:rFonts w:hint="eastAsia" w:ascii="宋体" w:cs="宋体"/>
                <w:color w:val="auto"/>
                <w:spacing w:val="4"/>
                <w:kern w:val="0"/>
                <w:sz w:val="22"/>
                <w:szCs w:val="22"/>
                <w:highlight w:val="none"/>
              </w:rPr>
              <w:t>招标代理服务费</w:t>
            </w:r>
          </w:p>
        </w:tc>
        <w:tc>
          <w:tcPr>
            <w:tcW w:w="558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rPr>
                <w:color w:val="auto"/>
                <w:szCs w:val="21"/>
                <w:highlight w:val="none"/>
              </w:rPr>
            </w:pPr>
            <w:r>
              <w:rPr>
                <w:color w:val="auto"/>
                <w:sz w:val="32"/>
                <w:szCs w:val="32"/>
                <w:highlight w:val="none"/>
              </w:rPr>
              <w:t>□</w:t>
            </w:r>
            <w:r>
              <w:rPr>
                <w:rFonts w:hint="eastAsia"/>
                <w:color w:val="auto"/>
                <w:szCs w:val="21"/>
                <w:highlight w:val="none"/>
              </w:rPr>
              <w:t>本次招标没有招标代理服务费。</w:t>
            </w:r>
          </w:p>
          <w:p>
            <w:pPr>
              <w:adjustRightInd w:val="0"/>
              <w:snapToGrid w:val="0"/>
              <w:spacing w:line="300" w:lineRule="auto"/>
              <w:jc w:val="left"/>
              <w:rPr>
                <w:color w:val="auto"/>
                <w:szCs w:val="21"/>
                <w:highlight w:val="none"/>
              </w:rPr>
            </w:pPr>
            <w:r>
              <w:rPr>
                <w:color w:val="auto"/>
                <w:sz w:val="32"/>
                <w:szCs w:val="32"/>
                <w:highlight w:val="none"/>
              </w:rPr>
              <w:t>□</w:t>
            </w:r>
            <w:r>
              <w:rPr>
                <w:rFonts w:hint="eastAsia"/>
                <w:color w:val="auto"/>
                <w:szCs w:val="21"/>
                <w:highlight w:val="none"/>
              </w:rPr>
              <w:t>本次招标有招标代理服务费。根据</w:t>
            </w:r>
            <w:r>
              <w:rPr>
                <w:color w:val="auto"/>
                <w:szCs w:val="21"/>
                <w:highlight w:val="none"/>
              </w:rPr>
              <w:t>招标人</w:t>
            </w:r>
            <w:r>
              <w:rPr>
                <w:rFonts w:hint="eastAsia"/>
                <w:color w:val="auto"/>
                <w:szCs w:val="21"/>
                <w:highlight w:val="none"/>
              </w:rPr>
              <w:t>和</w:t>
            </w:r>
            <w:r>
              <w:rPr>
                <w:color w:val="auto"/>
                <w:szCs w:val="21"/>
                <w:highlight w:val="none"/>
              </w:rPr>
              <w:t>招标代理机构</w:t>
            </w:r>
            <w:r>
              <w:rPr>
                <w:rFonts w:hint="eastAsia"/>
                <w:color w:val="auto"/>
                <w:szCs w:val="21"/>
                <w:highlight w:val="none"/>
              </w:rPr>
              <w:t>委托代理合同的约定，本项目招标代理服务费：</w:t>
            </w:r>
          </w:p>
          <w:p>
            <w:pPr>
              <w:snapToGrid w:val="0"/>
              <w:spacing w:line="300" w:lineRule="auto"/>
              <w:ind w:firstLine="320" w:firstLineChars="100"/>
              <w:rPr>
                <w:color w:val="auto"/>
                <w:szCs w:val="21"/>
                <w:highlight w:val="none"/>
              </w:rPr>
            </w:pPr>
            <w:r>
              <w:rPr>
                <w:color w:val="auto"/>
                <w:sz w:val="32"/>
                <w:szCs w:val="32"/>
                <w:highlight w:val="none"/>
              </w:rPr>
              <w:t>□</w:t>
            </w:r>
            <w:r>
              <w:rPr>
                <w:rFonts w:hint="eastAsia"/>
                <w:color w:val="auto"/>
                <w:szCs w:val="21"/>
                <w:highlight w:val="none"/>
              </w:rPr>
              <w:t>由招标人支付。</w:t>
            </w:r>
          </w:p>
          <w:p>
            <w:pPr>
              <w:snapToGrid w:val="0"/>
              <w:spacing w:line="300" w:lineRule="auto"/>
              <w:ind w:firstLine="320" w:firstLineChars="100"/>
              <w:rPr>
                <w:color w:val="auto"/>
                <w:szCs w:val="21"/>
                <w:highlight w:val="none"/>
              </w:rPr>
            </w:pPr>
            <w:r>
              <w:rPr>
                <w:color w:val="auto"/>
                <w:sz w:val="32"/>
                <w:szCs w:val="32"/>
                <w:highlight w:val="none"/>
              </w:rPr>
              <w:t>□</w:t>
            </w:r>
            <w:r>
              <w:rPr>
                <w:rFonts w:hint="eastAsia"/>
                <w:color w:val="auto"/>
                <w:szCs w:val="21"/>
                <w:highlight w:val="none"/>
              </w:rPr>
              <w:t>由中标人支付。</w:t>
            </w:r>
          </w:p>
          <w:p>
            <w:pPr>
              <w:snapToGrid w:val="0"/>
              <w:spacing w:line="300" w:lineRule="auto"/>
              <w:rPr>
                <w:color w:val="auto"/>
                <w:szCs w:val="21"/>
                <w:highlight w:val="none"/>
              </w:rPr>
            </w:pPr>
            <w:r>
              <w:rPr>
                <w:rFonts w:hint="eastAsia"/>
                <w:color w:val="auto"/>
                <w:szCs w:val="21"/>
                <w:highlight w:val="none"/>
              </w:rPr>
              <w:t xml:space="preserve">     支付标准：</w:t>
            </w:r>
            <w:r>
              <w:rPr>
                <w:rFonts w:hint="eastAsia" w:ascii="宋体" w:hAnsi="宋体" w:cs="宋体"/>
                <w:color w:val="auto"/>
                <w:szCs w:val="21"/>
                <w:highlight w:val="none"/>
                <w:u w:val="single"/>
                <w:lang w:val="en-US" w:eastAsia="zh-CN"/>
              </w:rPr>
              <w:t xml:space="preserve">    </w:t>
            </w:r>
            <w:r>
              <w:rPr>
                <w:rFonts w:hint="eastAsia"/>
                <w:color w:val="auto"/>
                <w:szCs w:val="21"/>
                <w:highlight w:val="none"/>
              </w:rPr>
              <w:t xml:space="preserve"> ；</w:t>
            </w:r>
          </w:p>
          <w:p>
            <w:pPr>
              <w:snapToGrid w:val="0"/>
              <w:spacing w:line="300" w:lineRule="auto"/>
              <w:rPr>
                <w:color w:val="auto"/>
                <w:szCs w:val="21"/>
                <w:highlight w:val="none"/>
              </w:rPr>
            </w:pPr>
            <w:r>
              <w:rPr>
                <w:rFonts w:hint="eastAsia"/>
                <w:color w:val="auto"/>
                <w:szCs w:val="21"/>
                <w:highlight w:val="none"/>
              </w:rPr>
              <w:t xml:space="preserve">     支付方式：</w:t>
            </w:r>
            <w:r>
              <w:rPr>
                <w:rFonts w:hint="eastAsia" w:ascii="宋体" w:hAnsi="宋体" w:cs="宋体"/>
                <w:color w:val="auto"/>
                <w:szCs w:val="21"/>
                <w:highlight w:val="none"/>
                <w:u w:val="single"/>
                <w:lang w:val="en-US" w:eastAsia="zh-CN"/>
              </w:rPr>
              <w:t xml:space="preserve">    </w:t>
            </w:r>
            <w:r>
              <w:rPr>
                <w:rFonts w:hint="eastAsia"/>
                <w:color w:val="auto"/>
                <w:szCs w:val="21"/>
                <w:highlight w:val="none"/>
              </w:rPr>
              <w:t xml:space="preserve"> ；</w:t>
            </w:r>
          </w:p>
          <w:p>
            <w:pPr>
              <w:snapToGrid w:val="0"/>
              <w:spacing w:line="300" w:lineRule="auto"/>
              <w:rPr>
                <w:color w:val="auto"/>
                <w:highlight w:val="none"/>
              </w:rPr>
            </w:pPr>
            <w:r>
              <w:rPr>
                <w:rFonts w:hint="eastAsia"/>
                <w:color w:val="auto"/>
                <w:szCs w:val="21"/>
                <w:highlight w:val="none"/>
              </w:rPr>
              <w:t xml:space="preserve">     支付时间：</w:t>
            </w:r>
            <w:r>
              <w:rPr>
                <w:rFonts w:hint="eastAsia" w:ascii="宋体" w:hAnsi="宋体" w:cs="宋体"/>
                <w:color w:val="auto"/>
                <w:szCs w:val="21"/>
                <w:highlight w:val="none"/>
                <w:u w:val="single"/>
                <w:lang w:val="en-US" w:eastAsia="zh-CN"/>
              </w:rPr>
              <w:t xml:space="preserve">    </w:t>
            </w:r>
            <w:r>
              <w:rPr>
                <w:rFonts w:hint="eastAsia"/>
                <w:color w:val="auto"/>
                <w:szCs w:val="21"/>
                <w:highlight w:val="none"/>
              </w:rPr>
              <w:t xml:space="preserve"> 。</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hint="eastAsia" w:eastAsia="宋体"/>
                <w:color w:val="auto"/>
                <w:highlight w:val="none"/>
                <w:lang w:eastAsia="zh-CN"/>
              </w:rPr>
            </w:pPr>
            <w:r>
              <w:rPr>
                <w:rFonts w:hint="eastAsia"/>
                <w:color w:val="auto"/>
                <w:highlight w:val="none"/>
              </w:rPr>
              <w:t>10.</w:t>
            </w:r>
            <w:r>
              <w:rPr>
                <w:rFonts w:hint="eastAsia"/>
                <w:color w:val="auto"/>
                <w:highlight w:val="none"/>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cs="宋体"/>
                <w:color w:val="auto"/>
                <w:spacing w:val="4"/>
                <w:kern w:val="0"/>
                <w:sz w:val="22"/>
                <w:szCs w:val="22"/>
                <w:highlight w:val="none"/>
              </w:rPr>
            </w:pPr>
            <w:r>
              <w:rPr>
                <w:rFonts w:hint="eastAsia"/>
                <w:color w:val="auto"/>
                <w:highlight w:val="none"/>
              </w:rPr>
              <w:t>知识产权</w:t>
            </w:r>
          </w:p>
        </w:tc>
        <w:tc>
          <w:tcPr>
            <w:tcW w:w="5580"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olor w:val="auto"/>
                <w:highlight w:val="none"/>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hint="eastAsia" w:eastAsia="宋体"/>
                <w:color w:val="auto"/>
                <w:highlight w:val="none"/>
                <w:lang w:eastAsia="zh-CN"/>
              </w:rPr>
            </w:pPr>
            <w:r>
              <w:rPr>
                <w:rFonts w:hint="eastAsia"/>
                <w:color w:val="auto"/>
                <w:highlight w:val="none"/>
              </w:rPr>
              <w:t>10.</w:t>
            </w:r>
            <w:r>
              <w:rPr>
                <w:rFonts w:hint="eastAsia"/>
                <w:color w:val="auto"/>
                <w:highlight w:val="none"/>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color w:val="auto"/>
                <w:spacing w:val="4"/>
                <w:kern w:val="0"/>
                <w:sz w:val="22"/>
                <w:szCs w:val="22"/>
                <w:highlight w:val="none"/>
              </w:rPr>
            </w:pPr>
            <w:r>
              <w:rPr>
                <w:rFonts w:hint="eastAsia"/>
                <w:color w:val="auto"/>
                <w:highlight w:val="none"/>
              </w:rPr>
              <w:t>同义词语</w:t>
            </w:r>
          </w:p>
        </w:tc>
        <w:tc>
          <w:tcPr>
            <w:tcW w:w="5580"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olor w:val="auto"/>
                <w:highlight w:val="none"/>
              </w:rPr>
              <w:t>构成招标文件组成部分的“通用合同条款”、“专用合同条款”、“技术标准和要求”和“工程量清单”等章节中出现的措辞“发包人”和“承包人”，在招标投标阶段应当分别按“招标人”和“投标人”进行理解。</w:t>
            </w:r>
          </w:p>
        </w:tc>
      </w:tr>
      <w:tr>
        <w:tblPrEx>
          <w:tblLayout w:type="fixed"/>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hint="eastAsia" w:eastAsia="宋体"/>
                <w:color w:val="auto"/>
                <w:highlight w:val="none"/>
                <w:lang w:eastAsia="zh-CN"/>
              </w:rPr>
            </w:pPr>
            <w:r>
              <w:rPr>
                <w:rFonts w:hint="eastAsia"/>
                <w:color w:val="auto"/>
                <w:highlight w:val="none"/>
              </w:rPr>
              <w:t>10.</w:t>
            </w:r>
            <w:r>
              <w:rPr>
                <w:rFonts w:hint="eastAsia"/>
                <w:color w:val="auto"/>
                <w:highlight w:val="none"/>
                <w:lang w:val="en-US" w:eastAsia="zh-CN"/>
              </w:rPr>
              <w:t>7</w:t>
            </w:r>
          </w:p>
        </w:tc>
        <w:tc>
          <w:tcPr>
            <w:tcW w:w="2160"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cs="宋体"/>
                <w:color w:val="auto"/>
                <w:spacing w:val="4"/>
                <w:kern w:val="0"/>
                <w:sz w:val="22"/>
                <w:szCs w:val="22"/>
                <w:highlight w:val="none"/>
              </w:rPr>
            </w:pPr>
            <w:r>
              <w:rPr>
                <w:rFonts w:hint="eastAsia"/>
                <w:color w:val="auto"/>
                <w:highlight w:val="none"/>
              </w:rPr>
              <w:t>解释权</w:t>
            </w:r>
          </w:p>
        </w:tc>
        <w:tc>
          <w:tcPr>
            <w:tcW w:w="5580" w:type="dxa"/>
            <w:tcBorders>
              <w:top w:val="single" w:color="auto" w:sz="4" w:space="0"/>
              <w:left w:val="single" w:color="auto" w:sz="4" w:space="0"/>
              <w:bottom w:val="single" w:color="auto" w:sz="4" w:space="0"/>
              <w:right w:val="single" w:color="auto" w:sz="4" w:space="0"/>
            </w:tcBorders>
            <w:vAlign w:val="center"/>
          </w:tcPr>
          <w:p>
            <w:pPr>
              <w:rPr>
                <w:color w:val="auto"/>
                <w:szCs w:val="21"/>
                <w:highlight w:val="none"/>
              </w:rPr>
            </w:pPr>
            <w:r>
              <w:rPr>
                <w:rFonts w:hint="eastAsia"/>
                <w:color w:val="auto"/>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Layout w:type="fixed"/>
          <w:tblCellMar>
            <w:top w:w="0" w:type="dxa"/>
            <w:left w:w="108" w:type="dxa"/>
            <w:bottom w:w="0" w:type="dxa"/>
            <w:right w:w="108" w:type="dxa"/>
          </w:tblCellMar>
        </w:tblPrEx>
        <w:trPr>
          <w:trHeight w:val="852" w:hRule="atLeast"/>
        </w:trPr>
        <w:tc>
          <w:tcPr>
            <w:tcW w:w="1008"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rFonts w:hint="eastAsia" w:eastAsia="宋体" w:cs="宋体"/>
                <w:color w:val="auto"/>
                <w:szCs w:val="21"/>
                <w:highlight w:val="none"/>
                <w:lang w:eastAsia="zh-CN"/>
              </w:rPr>
            </w:pPr>
            <w:r>
              <w:rPr>
                <w:rFonts w:hint="eastAsia" w:cs="宋体"/>
                <w:color w:val="auto"/>
                <w:szCs w:val="21"/>
                <w:highlight w:val="none"/>
              </w:rPr>
              <w:t>10</w:t>
            </w:r>
            <w:r>
              <w:rPr>
                <w:rFonts w:hint="eastAsia" w:ascii="宋体" w:hAnsi="宋体" w:cs="宋体"/>
                <w:color w:val="auto"/>
                <w:szCs w:val="21"/>
                <w:highlight w:val="none"/>
              </w:rPr>
              <w:t>.</w:t>
            </w:r>
            <w:r>
              <w:rPr>
                <w:rFonts w:hint="eastAsia"/>
                <w:color w:val="auto"/>
                <w:highlight w:val="none"/>
                <w:lang w:val="en-US" w:eastAsia="zh-CN"/>
              </w:rPr>
              <w:t>8</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00" w:lineRule="auto"/>
              <w:jc w:val="center"/>
              <w:rPr>
                <w:color w:val="auto"/>
                <w:highlight w:val="none"/>
              </w:rPr>
            </w:pPr>
            <w:r>
              <w:rPr>
                <w:rFonts w:hint="eastAsia"/>
                <w:color w:val="auto"/>
                <w:highlight w:val="none"/>
              </w:rPr>
              <w:t>招标人补充的</w:t>
            </w:r>
          </w:p>
          <w:p>
            <w:pPr>
              <w:snapToGrid w:val="0"/>
              <w:spacing w:line="300" w:lineRule="auto"/>
              <w:jc w:val="center"/>
              <w:rPr>
                <w:color w:val="auto"/>
                <w:highlight w:val="none"/>
              </w:rPr>
            </w:pPr>
            <w:r>
              <w:rPr>
                <w:rFonts w:hint="eastAsia"/>
                <w:color w:val="auto"/>
                <w:highlight w:val="none"/>
              </w:rPr>
              <w:t>其他内容</w:t>
            </w:r>
          </w:p>
        </w:tc>
        <w:tc>
          <w:tcPr>
            <w:tcW w:w="5580" w:type="dxa"/>
            <w:tcBorders>
              <w:top w:val="single" w:color="auto" w:sz="4" w:space="0"/>
              <w:left w:val="single" w:color="auto" w:sz="4" w:space="0"/>
              <w:bottom w:val="single" w:color="auto" w:sz="4" w:space="0"/>
              <w:right w:val="single" w:color="auto" w:sz="4" w:space="0"/>
            </w:tcBorders>
            <w:vAlign w:val="center"/>
          </w:tcPr>
          <w:p>
            <w:pPr>
              <w:spacing w:before="68" w:line="186" w:lineRule="auto"/>
              <w:rPr>
                <w:rFonts w:ascii="宋体" w:hAnsi="宋体" w:cs="宋体"/>
                <w:color w:val="auto"/>
                <w:spacing w:val="-2"/>
                <w:highlight w:val="none"/>
              </w:rPr>
            </w:pPr>
            <w:r>
              <w:rPr>
                <w:rFonts w:ascii="宋体" w:hAnsi="宋体" w:cs="宋体"/>
                <w:color w:val="auto"/>
                <w:spacing w:val="-5"/>
                <w:highlight w:val="none"/>
              </w:rPr>
              <w:t>电子招标投标解</w:t>
            </w:r>
            <w:r>
              <w:rPr>
                <w:rFonts w:ascii="宋体" w:hAnsi="宋体" w:cs="宋体"/>
                <w:color w:val="auto"/>
                <w:spacing w:val="-1"/>
                <w:highlight w:val="none"/>
              </w:rPr>
              <w:t>密失败及突发情</w:t>
            </w:r>
            <w:r>
              <w:rPr>
                <w:rFonts w:ascii="宋体" w:hAnsi="宋体" w:cs="宋体"/>
                <w:color w:val="auto"/>
                <w:spacing w:val="-2"/>
                <w:highlight w:val="none"/>
              </w:rPr>
              <w:t>况的补救</w:t>
            </w:r>
            <w:r>
              <w:rPr>
                <w:rFonts w:hint="eastAsia" w:ascii="宋体" w:hAnsi="宋体" w:cs="宋体"/>
                <w:color w:val="auto"/>
                <w:spacing w:val="-2"/>
                <w:highlight w:val="none"/>
              </w:rPr>
              <w:t>：</w:t>
            </w:r>
          </w:p>
          <w:p>
            <w:pPr>
              <w:spacing w:before="53" w:line="230" w:lineRule="auto"/>
              <w:ind w:right="39"/>
              <w:rPr>
                <w:rFonts w:ascii="宋体" w:hAnsi="宋体" w:cs="宋体"/>
                <w:color w:val="auto"/>
                <w:highlight w:val="none"/>
              </w:rPr>
            </w:pPr>
            <w:r>
              <w:rPr>
                <w:rFonts w:ascii="宋体" w:hAnsi="宋体" w:cs="宋体"/>
                <w:color w:val="auto"/>
                <w:spacing w:val="-3"/>
                <w:highlight w:val="none"/>
              </w:rPr>
              <w:t>1、按照交易平台的相关指南进行操作。详见：</w:t>
            </w:r>
            <w:r>
              <w:rPr>
                <w:rFonts w:hint="eastAsia" w:ascii="宋体" w:hAnsi="宋体" w:cs="宋体"/>
                <w:color w:val="auto"/>
                <w:spacing w:val="-3"/>
                <w:highlight w:val="none"/>
                <w:u w:val="single"/>
                <w:lang w:val="en-US" w:eastAsia="zh-CN"/>
              </w:rPr>
              <w:t xml:space="preserve">       </w:t>
            </w:r>
            <w:r>
              <w:rPr>
                <w:rFonts w:ascii="宋体" w:hAnsi="宋体" w:cs="宋体"/>
                <w:color w:val="auto"/>
                <w:spacing w:val="-3"/>
                <w:highlight w:val="none"/>
              </w:rPr>
              <w:t>。</w:t>
            </w:r>
          </w:p>
          <w:p>
            <w:pPr>
              <w:spacing w:before="53" w:line="230" w:lineRule="auto"/>
              <w:ind w:right="39"/>
              <w:rPr>
                <w:rFonts w:ascii="宋体" w:hAnsi="宋体" w:cs="宋体"/>
                <w:color w:val="auto"/>
                <w:spacing w:val="-3"/>
                <w:highlight w:val="none"/>
              </w:rPr>
            </w:pPr>
            <w:r>
              <w:rPr>
                <w:rFonts w:ascii="宋体" w:hAnsi="宋体" w:cs="宋体"/>
                <w:color w:val="auto"/>
                <w:spacing w:val="-1"/>
                <w:highlight w:val="none"/>
              </w:rPr>
              <w:t>2、提交投</w:t>
            </w:r>
            <w:r>
              <w:rPr>
                <w:rFonts w:ascii="宋体" w:hAnsi="宋体" w:cs="宋体"/>
                <w:color w:val="auto"/>
                <w:spacing w:val="-3"/>
                <w:highlight w:val="none"/>
              </w:rPr>
              <w:t>标文件光盘备用</w:t>
            </w:r>
          </w:p>
          <w:p>
            <w:pPr>
              <w:spacing w:before="53" w:line="230" w:lineRule="auto"/>
              <w:ind w:right="39"/>
              <w:rPr>
                <w:rFonts w:ascii="宋体" w:hAnsi="宋体" w:cs="宋体"/>
                <w:color w:val="auto"/>
                <w:spacing w:val="-3"/>
                <w:highlight w:val="none"/>
              </w:rPr>
            </w:pPr>
            <w:r>
              <w:rPr>
                <w:rFonts w:ascii="宋体" w:hAnsi="宋体" w:cs="宋体"/>
                <w:color w:val="auto"/>
                <w:spacing w:val="-3"/>
                <w:highlight w:val="none"/>
              </w:rPr>
              <w:t>投标人可制作非加密的电子投标文件（PDF格式）刻入光盘（1份），在</w:t>
            </w:r>
            <w:r>
              <w:rPr>
                <w:rFonts w:hint="eastAsia" w:ascii="宋体" w:hAnsi="宋体" w:cs="宋体"/>
                <w:color w:val="auto"/>
                <w:spacing w:val="-3"/>
                <w:highlight w:val="none"/>
              </w:rPr>
              <w:t>招标公告或投标邀请书</w:t>
            </w:r>
            <w:r>
              <w:rPr>
                <w:rFonts w:ascii="宋体" w:hAnsi="宋体" w:cs="宋体"/>
                <w:color w:val="auto"/>
                <w:spacing w:val="-3"/>
                <w:highlight w:val="none"/>
              </w:rPr>
              <w:t>规定的时间、地点提交备用。刻录好的投标文件光盘密封在密封袋中，并在封口处加盖投标人单位公章。密封袋上应写明项目名称和招标人名称。递交的光盘不得加密。光盘无法读取或导入的，则视为未提交备用投标文件光盘。如果投标人没有按规定通过交易平台网上递交电子投标文件的，不再读取提交的光盘。投标人也可不提交备用光盘。</w:t>
            </w:r>
          </w:p>
          <w:p>
            <w:pPr>
              <w:spacing w:before="53" w:line="230" w:lineRule="auto"/>
              <w:ind w:right="39"/>
              <w:rPr>
                <w:rFonts w:ascii="宋体" w:hAnsi="宋体" w:cs="宋体"/>
                <w:color w:val="auto"/>
                <w:spacing w:val="-3"/>
                <w:highlight w:val="none"/>
              </w:rPr>
            </w:pPr>
            <w:r>
              <w:rPr>
                <w:rFonts w:ascii="宋体" w:hAnsi="宋体" w:cs="宋体"/>
                <w:color w:val="auto"/>
                <w:spacing w:val="-3"/>
                <w:highlight w:val="none"/>
              </w:rPr>
              <w:t>3、补救方案</w:t>
            </w:r>
          </w:p>
          <w:p>
            <w:pPr>
              <w:spacing w:before="53" w:line="230" w:lineRule="auto"/>
              <w:ind w:right="39"/>
              <w:rPr>
                <w:rFonts w:ascii="宋体" w:hAnsi="宋体" w:cs="宋体"/>
                <w:color w:val="auto"/>
                <w:spacing w:val="-3"/>
                <w:highlight w:val="none"/>
              </w:rPr>
            </w:pPr>
            <w:r>
              <w:rPr>
                <w:rFonts w:ascii="宋体" w:hAnsi="宋体" w:cs="宋体"/>
                <w:color w:val="auto"/>
                <w:spacing w:val="-3"/>
                <w:highlight w:val="none"/>
              </w:rPr>
              <w:t>（1）投标文件解密失败的补救方案：</w:t>
            </w:r>
          </w:p>
          <w:p>
            <w:pPr>
              <w:spacing w:before="53" w:line="230" w:lineRule="auto"/>
              <w:ind w:right="39"/>
              <w:rPr>
                <w:rFonts w:ascii="宋体" w:hAnsi="宋体" w:cs="宋体"/>
                <w:color w:val="auto"/>
                <w:spacing w:val="-3"/>
                <w:highlight w:val="none"/>
              </w:rPr>
            </w:pPr>
            <w:r>
              <w:rPr>
                <w:rFonts w:ascii="宋体" w:hAnsi="宋体" w:cs="宋体"/>
                <w:color w:val="auto"/>
                <w:spacing w:val="-3"/>
                <w:highlight w:val="none"/>
              </w:rPr>
              <w:t>在规定时间内，因投标人之外原因(指网络瘫痪、服务器损坏、交易系统故障短期无法恢复)导致的电子投标文件解密失败，在开标现场读取光盘内容，继续开标程序。评标委员会对其投标文件的评审以光盘内容为准。因投标人之外原因解密失败且未递交电子光盘的，视为撤回投标文件。</w:t>
            </w:r>
          </w:p>
          <w:p>
            <w:pPr>
              <w:spacing w:before="53" w:line="230" w:lineRule="auto"/>
              <w:ind w:right="39"/>
              <w:rPr>
                <w:rFonts w:ascii="宋体" w:hAnsi="宋体" w:cs="宋体"/>
                <w:color w:val="auto"/>
                <w:spacing w:val="-3"/>
                <w:highlight w:val="none"/>
              </w:rPr>
            </w:pPr>
            <w:r>
              <w:rPr>
                <w:rFonts w:ascii="宋体" w:hAnsi="宋体" w:cs="宋体"/>
                <w:color w:val="auto"/>
                <w:spacing w:val="-3"/>
                <w:highlight w:val="none"/>
              </w:rPr>
              <w:t>（2）评标时突发情况的补救方案</w:t>
            </w:r>
          </w:p>
          <w:p>
            <w:pPr>
              <w:spacing w:before="53" w:line="230" w:lineRule="auto"/>
              <w:ind w:right="39"/>
              <w:rPr>
                <w:rFonts w:ascii="宋体" w:hAnsi="宋体" w:cs="宋体"/>
                <w:color w:val="auto"/>
                <w:spacing w:val="-2"/>
                <w:highlight w:val="none"/>
              </w:rPr>
            </w:pPr>
            <w:r>
              <w:rPr>
                <w:rFonts w:ascii="宋体" w:hAnsi="宋体" w:cs="宋体"/>
                <w:color w:val="auto"/>
                <w:spacing w:val="-3"/>
                <w:highlight w:val="none"/>
              </w:rPr>
              <w:t>若遇不可抗力发生（指网络瘫痪、服务器损坏、交易系统故障短期无法恢复等因素），由评标委员会开启投标人递交的全部投标文件光盘，并按光盘内容进行评审。（3）除发生上述情况外，开标评标均以投标人通过交易平台网上递交的电子投标文件为准。</w:t>
            </w:r>
          </w:p>
        </w:tc>
      </w:tr>
    </w:tbl>
    <w:p>
      <w:pPr>
        <w:pStyle w:val="20"/>
        <w:spacing w:before="120" w:afterLines="50"/>
        <w:jc w:val="center"/>
        <w:outlineLvl w:val="2"/>
        <w:rPr>
          <w:rFonts w:hint="eastAsia"/>
          <w:color w:val="auto"/>
          <w:highlight w:val="none"/>
        </w:rPr>
      </w:pPr>
      <w:bookmarkStart w:id="376" w:name="_Toc18833"/>
      <w:bookmarkStart w:id="377" w:name="_Toc25683"/>
      <w:bookmarkStart w:id="378" w:name="_Toc515570294"/>
      <w:bookmarkStart w:id="379" w:name="_Toc815628639"/>
      <w:bookmarkStart w:id="380" w:name="_Toc31179"/>
      <w:bookmarkStart w:id="381" w:name="_Toc1048312297"/>
      <w:bookmarkStart w:id="382" w:name="_Toc30225"/>
      <w:bookmarkStart w:id="383" w:name="_Toc2691"/>
      <w:bookmarkStart w:id="384" w:name="_Toc8683"/>
      <w:bookmarkStart w:id="385" w:name="_Toc222030984"/>
      <w:bookmarkStart w:id="386" w:name="_Toc222033833"/>
      <w:bookmarkStart w:id="387" w:name="_Toc221950083"/>
      <w:bookmarkStart w:id="388" w:name="_Toc222029482"/>
      <w:bookmarkStart w:id="389" w:name="_Toc168475644"/>
      <w:bookmarkStart w:id="390" w:name="_Toc168476047"/>
      <w:bookmarkStart w:id="391" w:name="_Toc387753551"/>
      <w:bookmarkStart w:id="392" w:name="_Toc222032651"/>
      <w:bookmarkStart w:id="393" w:name="_Toc229305342"/>
      <w:bookmarkStart w:id="394" w:name="_Toc144974497"/>
      <w:r>
        <w:rPr>
          <w:rFonts w:hint="eastAsia"/>
          <w:color w:val="auto"/>
          <w:highlight w:val="none"/>
        </w:rPr>
        <w:t>投标人须知</w:t>
      </w:r>
      <w:r>
        <w:rPr>
          <w:rFonts w:hint="eastAsia"/>
          <w:color w:val="auto"/>
          <w:highlight w:val="none"/>
          <w:lang w:val="en-US" w:eastAsia="zh-CN"/>
        </w:rPr>
        <w:t>通用条款</w:t>
      </w:r>
      <w:r>
        <w:rPr>
          <w:rFonts w:hint="eastAsia"/>
          <w:color w:val="auto"/>
          <w:highlight w:val="none"/>
        </w:rPr>
        <w:t>部分</w:t>
      </w:r>
      <w:bookmarkEnd w:id="376"/>
      <w:bookmarkEnd w:id="377"/>
      <w:bookmarkEnd w:id="378"/>
      <w:bookmarkEnd w:id="379"/>
      <w:bookmarkEnd w:id="380"/>
      <w:bookmarkEnd w:id="381"/>
      <w:bookmarkEnd w:id="382"/>
      <w:bookmarkEnd w:id="383"/>
      <w:bookmarkEnd w:id="384"/>
    </w:p>
    <w:p>
      <w:pPr>
        <w:pStyle w:val="20"/>
        <w:spacing w:before="120" w:afterLines="50"/>
        <w:outlineLvl w:val="2"/>
        <w:rPr>
          <w:rFonts w:hint="eastAsia"/>
          <w:color w:val="auto"/>
          <w:highlight w:val="none"/>
        </w:rPr>
      </w:pPr>
      <w:bookmarkStart w:id="395" w:name="_Toc29788"/>
      <w:bookmarkStart w:id="396" w:name="_Toc21527"/>
      <w:bookmarkStart w:id="397" w:name="_Toc1248144337"/>
      <w:bookmarkStart w:id="398" w:name="_Toc3181"/>
      <w:bookmarkStart w:id="399" w:name="_Toc16936"/>
      <w:bookmarkStart w:id="400" w:name="_Toc12069"/>
      <w:bookmarkStart w:id="401" w:name="_Toc13221"/>
      <w:bookmarkStart w:id="402" w:name="_Toc1770274771"/>
      <w:r>
        <w:rPr>
          <w:rFonts w:hint="eastAsia"/>
          <w:color w:val="auto"/>
          <w:highlight w:val="none"/>
        </w:rPr>
        <w:t>1. 总则</w:t>
      </w:r>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03" w:name="_Toc12480"/>
      <w:bookmarkStart w:id="404" w:name="_Toc643095384"/>
      <w:bookmarkStart w:id="405" w:name="_Toc789686727"/>
      <w:bookmarkStart w:id="406" w:name="_Toc26241"/>
      <w:bookmarkStart w:id="407" w:name="_Toc31249"/>
      <w:bookmarkStart w:id="408" w:name="_Toc16125"/>
      <w:bookmarkStart w:id="409" w:name="_Toc4490"/>
      <w:bookmarkStart w:id="410" w:name="_Toc3668"/>
      <w:bookmarkStart w:id="411" w:name="_Toc221950086"/>
      <w:r>
        <w:rPr>
          <w:rFonts w:hint="eastAsia"/>
          <w:color w:val="auto"/>
          <w:sz w:val="24"/>
          <w:szCs w:val="24"/>
          <w:highlight w:val="none"/>
        </w:rPr>
        <w:t>1.1 项目概况</w:t>
      </w:r>
      <w:bookmarkEnd w:id="403"/>
      <w:bookmarkEnd w:id="404"/>
      <w:bookmarkEnd w:id="405"/>
      <w:bookmarkEnd w:id="406"/>
      <w:bookmarkEnd w:id="407"/>
      <w:bookmarkEnd w:id="408"/>
      <w:bookmarkEnd w:id="409"/>
      <w:bookmarkEnd w:id="410"/>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根据《中华人民共和国招标投标法》、《中华人民共和国招标投标法实施条例》等有关法律、法规和规章的规定，本招标项目已具备招标条件，现对本标段施工进行招标。</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2</w:t>
      </w:r>
      <w:r>
        <w:rPr>
          <w:rFonts w:hint="eastAsia" w:ascii="宋体" w:hAnsi="宋体"/>
          <w:color w:val="auto"/>
          <w:szCs w:val="21"/>
          <w:highlight w:val="none"/>
        </w:rPr>
        <w:t xml:space="preserve"> 本招标项目招标人：见投标人须知前附表。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3</w:t>
      </w:r>
      <w:r>
        <w:rPr>
          <w:rFonts w:hint="eastAsia" w:ascii="宋体" w:hAnsi="宋体"/>
          <w:color w:val="auto"/>
          <w:szCs w:val="21"/>
          <w:highlight w:val="none"/>
        </w:rPr>
        <w:t xml:space="preserve"> 本标段招标代理机构：见投标人须知前附表。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4</w:t>
      </w:r>
      <w:r>
        <w:rPr>
          <w:rFonts w:hint="eastAsia" w:ascii="宋体" w:hAnsi="宋体"/>
          <w:color w:val="auto"/>
          <w:szCs w:val="21"/>
          <w:highlight w:val="none"/>
        </w:rPr>
        <w:t xml:space="preserve"> 本招标项目名称：见投标人须知前附表。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5</w:t>
      </w:r>
      <w:r>
        <w:rPr>
          <w:rFonts w:hint="eastAsia" w:ascii="宋体" w:hAnsi="宋体"/>
          <w:color w:val="auto"/>
          <w:szCs w:val="21"/>
          <w:highlight w:val="none"/>
        </w:rPr>
        <w:t xml:space="preserve"> 本标段建设地点：见投标人须知前附表。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6</w:t>
      </w:r>
      <w:r>
        <w:rPr>
          <w:rFonts w:hint="eastAsia" w:ascii="宋体" w:hAnsi="宋体"/>
          <w:color w:val="auto"/>
          <w:szCs w:val="21"/>
          <w:highlight w:val="none"/>
        </w:rPr>
        <w:t>本招标项目现场管理机构：见投标人须知前附表。</w:t>
      </w:r>
      <w:bookmarkEnd w:id="411"/>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bookmarkStart w:id="412" w:name="_Toc221950087"/>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7</w:t>
      </w:r>
      <w:r>
        <w:rPr>
          <w:rFonts w:hint="eastAsia" w:ascii="宋体" w:hAnsi="宋体"/>
          <w:color w:val="auto"/>
          <w:szCs w:val="21"/>
          <w:highlight w:val="none"/>
        </w:rPr>
        <w:t>本招标项目设计人：见投标人须知前附表。</w:t>
      </w:r>
      <w:bookmarkEnd w:id="412"/>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bookmarkStart w:id="413" w:name="_Toc221950088"/>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8</w:t>
      </w:r>
      <w:r>
        <w:rPr>
          <w:rFonts w:hint="eastAsia" w:ascii="宋体" w:hAnsi="宋体"/>
          <w:color w:val="auto"/>
          <w:szCs w:val="21"/>
          <w:highlight w:val="none"/>
        </w:rPr>
        <w:t>本招标项目监理人：见投标人须知前附表。</w:t>
      </w:r>
      <w:bookmarkEnd w:id="413"/>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bookmarkStart w:id="414" w:name="_Toc221950089"/>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9</w:t>
      </w:r>
      <w:r>
        <w:rPr>
          <w:rFonts w:hint="eastAsia" w:ascii="宋体" w:hAnsi="宋体"/>
          <w:color w:val="auto"/>
          <w:szCs w:val="21"/>
          <w:highlight w:val="none"/>
        </w:rPr>
        <w:t>本招标项目代建人：见投标人须知前附表。</w:t>
      </w:r>
      <w:bookmarkEnd w:id="414"/>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15" w:name="_Toc152045531"/>
      <w:bookmarkStart w:id="416" w:name="_Toc17478"/>
      <w:bookmarkStart w:id="417" w:name="_Toc179632548"/>
      <w:bookmarkStart w:id="418" w:name="_Toc1922593679"/>
      <w:bookmarkStart w:id="419" w:name="_Toc2788"/>
      <w:bookmarkStart w:id="420" w:name="_Toc1782802650"/>
      <w:bookmarkStart w:id="421" w:name="_Toc32187"/>
      <w:bookmarkStart w:id="422" w:name="_Toc144974499"/>
      <w:bookmarkStart w:id="423" w:name="_Toc2347"/>
      <w:bookmarkStart w:id="424" w:name="_Toc24707"/>
      <w:bookmarkStart w:id="425" w:name="_Toc152042307"/>
      <w:bookmarkStart w:id="426" w:name="_Toc20888"/>
      <w:r>
        <w:rPr>
          <w:rFonts w:hint="eastAsia"/>
          <w:color w:val="auto"/>
          <w:sz w:val="24"/>
          <w:szCs w:val="24"/>
          <w:highlight w:val="none"/>
        </w:rPr>
        <w:t>1.2 资金来源和落实情况</w:t>
      </w:r>
      <w:bookmarkEnd w:id="415"/>
      <w:bookmarkEnd w:id="416"/>
      <w:bookmarkEnd w:id="417"/>
      <w:bookmarkEnd w:id="418"/>
      <w:bookmarkEnd w:id="419"/>
      <w:bookmarkEnd w:id="420"/>
      <w:bookmarkEnd w:id="421"/>
      <w:bookmarkEnd w:id="422"/>
      <w:bookmarkEnd w:id="423"/>
      <w:bookmarkEnd w:id="424"/>
      <w:bookmarkEnd w:id="425"/>
      <w:bookmarkEnd w:id="426"/>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1.2.1 本招标项目的资金来源：见投标人须知前附表。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1.2.2 本招标项目的出资比例：见投标人须知前附表。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1.2.3 本招标项目的资金落实情况：见投标人须知前附表。</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27" w:name="_Toc144974500"/>
      <w:bookmarkStart w:id="428" w:name="_Toc152042308"/>
      <w:bookmarkStart w:id="429" w:name="_Toc179632549"/>
      <w:bookmarkStart w:id="430" w:name="_Toc31919"/>
      <w:bookmarkStart w:id="431" w:name="_Toc12523"/>
      <w:bookmarkStart w:id="432" w:name="_Toc26875"/>
      <w:bookmarkStart w:id="433" w:name="_Toc1360382914"/>
      <w:bookmarkStart w:id="434" w:name="_Toc19490"/>
      <w:bookmarkStart w:id="435" w:name="_Toc31675"/>
      <w:bookmarkStart w:id="436" w:name="_Toc152045532"/>
      <w:bookmarkStart w:id="437" w:name="_Toc973154621"/>
      <w:bookmarkStart w:id="438" w:name="_Toc20459"/>
      <w:r>
        <w:rPr>
          <w:rFonts w:hint="eastAsia"/>
          <w:color w:val="auto"/>
          <w:sz w:val="24"/>
          <w:szCs w:val="24"/>
          <w:highlight w:val="none"/>
        </w:rPr>
        <w:t>1.3 招标范围、计划工期和质量要求</w:t>
      </w:r>
      <w:bookmarkEnd w:id="427"/>
      <w:bookmarkEnd w:id="428"/>
      <w:bookmarkEnd w:id="429"/>
      <w:bookmarkEnd w:id="430"/>
      <w:bookmarkEnd w:id="431"/>
      <w:bookmarkEnd w:id="432"/>
      <w:bookmarkEnd w:id="433"/>
      <w:bookmarkEnd w:id="434"/>
      <w:bookmarkEnd w:id="435"/>
      <w:bookmarkEnd w:id="436"/>
      <w:bookmarkEnd w:id="437"/>
      <w:bookmarkEnd w:id="438"/>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1.3.1 本次招标范围：见投标人须知前附表。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1.3.2 本标段的计划工期：见投标人须知前附表。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1.3.3 本标段的质量要求：见投标人须知前附表。</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39" w:name="_Toc1120094405"/>
      <w:bookmarkStart w:id="440" w:name="_Toc10198"/>
      <w:bookmarkStart w:id="441" w:name="_Toc25194"/>
      <w:bookmarkStart w:id="442" w:name="_Toc25555"/>
      <w:bookmarkStart w:id="443" w:name="_Toc23470"/>
      <w:bookmarkStart w:id="444" w:name="_Toc10218"/>
      <w:bookmarkStart w:id="445" w:name="_Toc24944"/>
      <w:bookmarkStart w:id="446" w:name="_Toc1889614774"/>
      <w:r>
        <w:rPr>
          <w:rFonts w:hint="eastAsia"/>
          <w:color w:val="auto"/>
          <w:sz w:val="24"/>
          <w:szCs w:val="24"/>
          <w:highlight w:val="none"/>
        </w:rPr>
        <w:t>1.4 投标人资格要求</w:t>
      </w:r>
      <w:bookmarkEnd w:id="439"/>
      <w:bookmarkEnd w:id="440"/>
      <w:bookmarkEnd w:id="441"/>
      <w:bookmarkEnd w:id="442"/>
      <w:bookmarkEnd w:id="443"/>
      <w:bookmarkEnd w:id="444"/>
      <w:bookmarkEnd w:id="445"/>
      <w:bookmarkEnd w:id="446"/>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投标人应具备承担本标段施工的资质条件、能力和信誉。</w:t>
      </w:r>
    </w:p>
    <w:p>
      <w:pPr>
        <w:pageBreakBefore w:val="0"/>
        <w:widowControl w:val="0"/>
        <w:kinsoku/>
        <w:wordWrap/>
        <w:overflowPunct/>
        <w:topLinePunct w:val="0"/>
        <w:bidi w:val="0"/>
        <w:snapToGrid/>
        <w:spacing w:line="360" w:lineRule="auto"/>
        <w:ind w:firstLine="718" w:firstLineChars="342"/>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）资质条件：见投标人须知前附表；</w:t>
      </w:r>
    </w:p>
    <w:p>
      <w:pPr>
        <w:pageBreakBefore w:val="0"/>
        <w:widowControl w:val="0"/>
        <w:kinsoku/>
        <w:wordWrap/>
        <w:overflowPunct/>
        <w:topLinePunct w:val="0"/>
        <w:bidi w:val="0"/>
        <w:snapToGrid/>
        <w:spacing w:line="360" w:lineRule="auto"/>
        <w:ind w:firstLine="718" w:firstLineChars="342"/>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lang w:val="en-US" w:eastAsia="zh-CN"/>
        </w:rPr>
        <w:t>2</w:t>
      </w:r>
      <w:r>
        <w:rPr>
          <w:rFonts w:hint="eastAsia" w:ascii="宋体" w:hAnsi="宋体" w:cs="宋体"/>
          <w:color w:val="auto"/>
          <w:szCs w:val="21"/>
          <w:highlight w:val="none"/>
        </w:rPr>
        <w:t>）信誉要求：见投标人须知前附表；</w:t>
      </w:r>
    </w:p>
    <w:p>
      <w:pPr>
        <w:pageBreakBefore w:val="0"/>
        <w:widowControl w:val="0"/>
        <w:kinsoku/>
        <w:wordWrap/>
        <w:overflowPunct/>
        <w:topLinePunct w:val="0"/>
        <w:bidi w:val="0"/>
        <w:snapToGrid/>
        <w:spacing w:line="360" w:lineRule="auto"/>
        <w:ind w:firstLine="735" w:firstLineChars="350"/>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lang w:val="en-US" w:eastAsia="zh-CN"/>
        </w:rPr>
        <w:t>3</w:t>
      </w:r>
      <w:r>
        <w:rPr>
          <w:rFonts w:hint="eastAsia" w:ascii="宋体" w:hAnsi="宋体" w:cs="宋体"/>
          <w:color w:val="auto"/>
          <w:szCs w:val="21"/>
          <w:highlight w:val="none"/>
        </w:rPr>
        <w:t>）项目负责人资格：见投标人须知前附表；</w:t>
      </w:r>
    </w:p>
    <w:p>
      <w:pPr>
        <w:pageBreakBefore w:val="0"/>
        <w:widowControl w:val="0"/>
        <w:kinsoku/>
        <w:wordWrap/>
        <w:overflowPunct/>
        <w:topLinePunct w:val="0"/>
        <w:bidi w:val="0"/>
        <w:snapToGrid/>
        <w:spacing w:line="360" w:lineRule="auto"/>
        <w:ind w:firstLine="735" w:firstLineChars="350"/>
        <w:textAlignment w:val="auto"/>
        <w:outlineLvl w:val="9"/>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lang w:val="en-US" w:eastAsia="zh-CN"/>
        </w:rPr>
        <w:t>4</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专职安全员</w:t>
      </w:r>
      <w:r>
        <w:rPr>
          <w:rFonts w:hint="eastAsia" w:ascii="宋体" w:hAnsi="宋体" w:cs="宋体"/>
          <w:color w:val="auto"/>
          <w:szCs w:val="21"/>
          <w:highlight w:val="none"/>
        </w:rPr>
        <w:t>：见投标人须知前附表。</w:t>
      </w:r>
    </w:p>
    <w:p>
      <w:pPr>
        <w:pageBreakBefore w:val="0"/>
        <w:widowControl w:val="0"/>
        <w:kinsoku/>
        <w:wordWrap/>
        <w:overflowPunct/>
        <w:topLinePunct w:val="0"/>
        <w:bidi w:val="0"/>
        <w:snapToGrid/>
        <w:spacing w:line="360" w:lineRule="auto"/>
        <w:ind w:firstLine="735" w:firstLineChars="350"/>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lang w:val="en-US" w:eastAsia="zh-CN"/>
        </w:rPr>
        <w:t>5</w:t>
      </w:r>
      <w:r>
        <w:rPr>
          <w:rFonts w:hint="eastAsia" w:ascii="宋体" w:hAnsi="宋体" w:cs="宋体"/>
          <w:color w:val="auto"/>
          <w:szCs w:val="21"/>
          <w:highlight w:val="none"/>
        </w:rPr>
        <w:t>）其他：见投标人须知前附表。</w:t>
      </w:r>
    </w:p>
    <w:p>
      <w:pPr>
        <w:pageBreakBefore w:val="0"/>
        <w:widowControl w:val="0"/>
        <w:kinsoku/>
        <w:wordWrap/>
        <w:overflowPunct/>
        <w:topLinePunct w:val="0"/>
        <w:bidi w:val="0"/>
        <w:snapToGrid/>
        <w:spacing w:line="360" w:lineRule="auto"/>
        <w:ind w:firstLine="525" w:firstLineChars="25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投标人须知前附表规定接受联合体投标的，除应符合本章第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 xml:space="preserve">项和投标人须知前附表的要求外，还应遵守以下规定： </w:t>
      </w:r>
    </w:p>
    <w:p>
      <w:pPr>
        <w:pageBreakBefore w:val="0"/>
        <w:widowControl w:val="0"/>
        <w:kinsoku/>
        <w:wordWrap/>
        <w:overflowPunct/>
        <w:topLinePunct w:val="0"/>
        <w:bidi w:val="0"/>
        <w:snapToGrid/>
        <w:spacing w:line="360" w:lineRule="auto"/>
        <w:ind w:firstLine="718" w:firstLineChars="342"/>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）联合体各方应按招标文件提供的格式签订联合体协议书，明确联合体牵头人和各方权利义务；</w:t>
      </w:r>
    </w:p>
    <w:p>
      <w:pPr>
        <w:pageBreakBefore w:val="0"/>
        <w:widowControl w:val="0"/>
        <w:kinsoku/>
        <w:wordWrap/>
        <w:overflowPunct/>
        <w:topLinePunct w:val="0"/>
        <w:bidi w:val="0"/>
        <w:snapToGrid/>
        <w:spacing w:line="360" w:lineRule="auto"/>
        <w:ind w:firstLine="718" w:firstLineChars="342"/>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）由同一专业的单位组成的联合体，按照资质等级较低的单位确定资质等级； </w:t>
      </w:r>
    </w:p>
    <w:p>
      <w:pPr>
        <w:pageBreakBefore w:val="0"/>
        <w:widowControl w:val="0"/>
        <w:kinsoku/>
        <w:wordWrap/>
        <w:overflowPunct/>
        <w:topLinePunct w:val="0"/>
        <w:bidi w:val="0"/>
        <w:snapToGrid/>
        <w:spacing w:line="360" w:lineRule="auto"/>
        <w:ind w:firstLine="718" w:firstLineChars="342"/>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）联合体各方不得再以自己名义单独或参加其他联合体在同一标段中投标。</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投标人不得存在下列情形之一：</w:t>
      </w:r>
    </w:p>
    <w:p>
      <w:pPr>
        <w:pageBreakBefore w:val="0"/>
        <w:widowControl w:val="0"/>
        <w:numPr>
          <w:ilvl w:val="0"/>
          <w:numId w:val="3"/>
        </w:numPr>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为招标人不具有独立法人资格的附属机构（单位）；</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（2）与招标人存在利害关系</w:t>
      </w:r>
      <w:r>
        <w:rPr>
          <w:rFonts w:hint="eastAsia" w:ascii="宋体" w:hAnsi="宋体"/>
          <w:color w:val="auto"/>
          <w:highlight w:val="none"/>
        </w:rPr>
        <w:t>且可能</w:t>
      </w:r>
      <w:r>
        <w:rPr>
          <w:rFonts w:hint="eastAsia"/>
          <w:color w:val="auto"/>
          <w:highlight w:val="none"/>
        </w:rPr>
        <w:t>影响招标公正性的；</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（3）与本招标项目的其他投标人为同一单位负责人；</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 xml:space="preserve">（4）与本招标项目的其他投标人存在控股、管理关系； </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 xml:space="preserve">（5）为本标段前期准备提供设计或咨询服务的，但设计施工总承包的除外； </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（6）为本标段的监理人；</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 xml:space="preserve">（7）为本标段的代建人； </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 xml:space="preserve">（8）为本标段提供招标代理服务的； </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（9）与本标段的监理人或代建人或招标代理机构同为一个法定代表人的；</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（10）与本标段的监理人或代建人或招标代理机构相互控股或参股的；</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（11）与本标段的监理人或代建人或招标代理机构相互任职或工作的；</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 xml:space="preserve">（12）被依法暂停或取消投标资格（指被本招标项目所在地县级及以上农业农村（或住建、水利、公共资源交易）行政主管部门暂停或取消投标资格或禁止进入该区域建设市场且处于有效期内）； </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（13）被责令停产停业、暂扣或者吊销许可证、暂扣或者吊销执照；</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（14）进入清算程序，或被宣告破产，或其他丧失履约能力的情形；</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（15）在最近三年内发生重大工程质量问题（以相关行业主管部门的行政处罚决定或司法机关出具的有关法律文书为准）；</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（16）在“国家企业信用信息公示系统”（</w:t>
      </w:r>
      <w:r>
        <w:rPr>
          <w:color w:val="auto"/>
          <w:highlight w:val="none"/>
        </w:rPr>
        <w:t xml:space="preserve"> </w:t>
      </w:r>
      <w:r>
        <w:rPr>
          <w:rFonts w:hint="eastAsia"/>
          <w:color w:val="auto"/>
          <w:highlight w:val="none"/>
        </w:rPr>
        <w:t>）中被列入严重违法失信企业名单；</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（17）在</w:t>
      </w:r>
      <w:r>
        <w:rPr>
          <w:color w:val="auto"/>
          <w:highlight w:val="none"/>
        </w:rPr>
        <w:t>“</w:t>
      </w:r>
      <w:r>
        <w:rPr>
          <w:rFonts w:hint="eastAsia"/>
          <w:color w:val="auto"/>
          <w:highlight w:val="none"/>
        </w:rPr>
        <w:t>信用中国</w:t>
      </w:r>
      <w:r>
        <w:rPr>
          <w:color w:val="auto"/>
          <w:highlight w:val="none"/>
        </w:rPr>
        <w:t>”</w:t>
      </w:r>
      <w:r>
        <w:rPr>
          <w:rFonts w:hint="eastAsia"/>
          <w:color w:val="auto"/>
          <w:highlight w:val="none"/>
        </w:rPr>
        <w:t>网站（</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color w:val="auto"/>
          <w:highlight w:val="none"/>
        </w:rPr>
        <w:t>www.creditchina.gov.cn</w:t>
      </w:r>
      <w:r>
        <w:rPr>
          <w:color w:val="auto"/>
          <w:highlight w:val="none"/>
        </w:rPr>
        <w:fldChar w:fldCharType="end"/>
      </w:r>
      <w:r>
        <w:rPr>
          <w:rFonts w:hint="eastAsia"/>
          <w:color w:val="auto"/>
          <w:highlight w:val="none"/>
        </w:rPr>
        <w:t>）或“中国执行信息公开网”（http://zxgk.court.gov.cn/shixin/）被列入失信被执行人名单；</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（18）在近三年内投标人或其法定代表人、拟委任的项目负责人有行贿犯罪行为；</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（19）</w:t>
      </w:r>
      <w:r>
        <w:rPr>
          <w:color w:val="auto"/>
          <w:highlight w:val="none"/>
        </w:rPr>
        <w:t>法律法规或投标人须知前附表规定的其他情形。</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47" w:name="_Toc32622"/>
      <w:bookmarkStart w:id="448" w:name="_Toc155714282"/>
      <w:bookmarkStart w:id="449" w:name="_Toc179632552"/>
      <w:bookmarkStart w:id="450" w:name="_Toc24855"/>
      <w:bookmarkStart w:id="451" w:name="_Toc32337"/>
      <w:bookmarkStart w:id="452" w:name="_Toc152045535"/>
      <w:bookmarkStart w:id="453" w:name="_Toc825848846"/>
      <w:bookmarkStart w:id="454" w:name="_Toc152042311"/>
      <w:bookmarkStart w:id="455" w:name="_Toc144974503"/>
      <w:bookmarkStart w:id="456" w:name="_Toc28959"/>
      <w:bookmarkStart w:id="457" w:name="_Toc26552"/>
      <w:bookmarkStart w:id="458" w:name="_Toc16796"/>
      <w:r>
        <w:rPr>
          <w:rFonts w:hint="eastAsia"/>
          <w:color w:val="auto"/>
          <w:sz w:val="24"/>
          <w:szCs w:val="24"/>
          <w:highlight w:val="none"/>
        </w:rPr>
        <w:t>1.5 费用承担</w:t>
      </w:r>
      <w:bookmarkEnd w:id="447"/>
      <w:bookmarkEnd w:id="448"/>
      <w:bookmarkEnd w:id="449"/>
      <w:bookmarkEnd w:id="450"/>
      <w:bookmarkEnd w:id="451"/>
      <w:bookmarkEnd w:id="452"/>
      <w:bookmarkEnd w:id="453"/>
      <w:bookmarkEnd w:id="454"/>
      <w:bookmarkEnd w:id="455"/>
      <w:bookmarkEnd w:id="456"/>
      <w:bookmarkEnd w:id="457"/>
      <w:bookmarkEnd w:id="458"/>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投标人准备和参加投标活动发生的费用自理。</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59" w:name="_Toc24671"/>
      <w:bookmarkStart w:id="460" w:name="_Toc1186041593"/>
      <w:bookmarkStart w:id="461" w:name="_Toc12770"/>
      <w:bookmarkStart w:id="462" w:name="_Toc144974504"/>
      <w:bookmarkStart w:id="463" w:name="_Toc22575"/>
      <w:bookmarkStart w:id="464" w:name="_Toc152042312"/>
      <w:bookmarkStart w:id="465" w:name="_Toc9565"/>
      <w:bookmarkStart w:id="466" w:name="_Toc926"/>
      <w:bookmarkStart w:id="467" w:name="_Toc152045536"/>
      <w:bookmarkStart w:id="468" w:name="_Toc179632553"/>
      <w:bookmarkStart w:id="469" w:name="_Toc927591477"/>
      <w:bookmarkStart w:id="470" w:name="_Toc9984"/>
      <w:r>
        <w:rPr>
          <w:rFonts w:hint="eastAsia"/>
          <w:color w:val="auto"/>
          <w:sz w:val="24"/>
          <w:szCs w:val="24"/>
          <w:highlight w:val="none"/>
        </w:rPr>
        <w:t>1.6 保密</w:t>
      </w:r>
      <w:bookmarkEnd w:id="459"/>
      <w:bookmarkEnd w:id="460"/>
      <w:bookmarkEnd w:id="461"/>
      <w:bookmarkEnd w:id="462"/>
      <w:bookmarkEnd w:id="463"/>
      <w:bookmarkEnd w:id="464"/>
      <w:bookmarkEnd w:id="465"/>
      <w:bookmarkEnd w:id="466"/>
      <w:bookmarkEnd w:id="467"/>
      <w:bookmarkEnd w:id="468"/>
      <w:bookmarkEnd w:id="469"/>
      <w:bookmarkEnd w:id="470"/>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 xml:space="preserve">参与招标投标活动的各方应对招标文件和投标文件中的商业和技术等秘密保密，违者应对由此造成的后果承担法律责任。 </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71" w:name="_Toc144974505"/>
      <w:bookmarkStart w:id="472" w:name="_Toc12006"/>
      <w:bookmarkStart w:id="473" w:name="_Toc21462"/>
      <w:bookmarkStart w:id="474" w:name="_Toc1216120234"/>
      <w:bookmarkStart w:id="475" w:name="_Toc1340324548"/>
      <w:bookmarkStart w:id="476" w:name="_Toc11755"/>
      <w:bookmarkStart w:id="477" w:name="_Toc5909"/>
      <w:bookmarkStart w:id="478" w:name="_Toc4040"/>
      <w:bookmarkStart w:id="479" w:name="_Toc152045537"/>
      <w:bookmarkStart w:id="480" w:name="_Toc152042313"/>
      <w:bookmarkStart w:id="481" w:name="_Toc12764"/>
      <w:bookmarkStart w:id="482" w:name="_Toc179632554"/>
      <w:r>
        <w:rPr>
          <w:rFonts w:hint="eastAsia"/>
          <w:color w:val="auto"/>
          <w:sz w:val="24"/>
          <w:szCs w:val="24"/>
          <w:highlight w:val="none"/>
        </w:rPr>
        <w:t>1.7 语言</w:t>
      </w:r>
      <w:bookmarkEnd w:id="471"/>
      <w:r>
        <w:rPr>
          <w:rFonts w:hint="eastAsia"/>
          <w:color w:val="auto"/>
          <w:sz w:val="24"/>
          <w:szCs w:val="24"/>
          <w:highlight w:val="none"/>
        </w:rPr>
        <w:t>文字</w:t>
      </w:r>
      <w:bookmarkEnd w:id="472"/>
      <w:bookmarkEnd w:id="473"/>
      <w:bookmarkEnd w:id="474"/>
      <w:bookmarkEnd w:id="475"/>
      <w:bookmarkEnd w:id="476"/>
      <w:bookmarkEnd w:id="477"/>
      <w:bookmarkEnd w:id="478"/>
      <w:bookmarkEnd w:id="479"/>
      <w:bookmarkEnd w:id="480"/>
      <w:bookmarkEnd w:id="481"/>
      <w:bookmarkEnd w:id="482"/>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除专用术语外，与招标投标有关的语言均使用中文。必要时专用术语应附有中文注释。</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83" w:name="_Toc152045538"/>
      <w:bookmarkStart w:id="484" w:name="_Toc179632555"/>
      <w:bookmarkStart w:id="485" w:name="_Toc23380"/>
      <w:bookmarkStart w:id="486" w:name="_Toc144974506"/>
      <w:bookmarkStart w:id="487" w:name="_Toc152042314"/>
      <w:bookmarkStart w:id="488" w:name="_Toc61777666"/>
      <w:bookmarkStart w:id="489" w:name="_Toc13078"/>
      <w:bookmarkStart w:id="490" w:name="_Toc17449"/>
      <w:bookmarkStart w:id="491" w:name="_Toc22902"/>
      <w:bookmarkStart w:id="492" w:name="_Toc12475"/>
      <w:bookmarkStart w:id="493" w:name="_Toc141"/>
      <w:bookmarkStart w:id="494" w:name="_Toc1847959809"/>
      <w:r>
        <w:rPr>
          <w:rFonts w:hint="eastAsia"/>
          <w:color w:val="auto"/>
          <w:sz w:val="24"/>
          <w:szCs w:val="24"/>
          <w:highlight w:val="none"/>
        </w:rPr>
        <w:t>1.8 计量单位</w:t>
      </w:r>
      <w:bookmarkEnd w:id="483"/>
      <w:bookmarkEnd w:id="484"/>
      <w:bookmarkEnd w:id="485"/>
      <w:bookmarkEnd w:id="486"/>
      <w:bookmarkEnd w:id="487"/>
      <w:bookmarkEnd w:id="488"/>
      <w:bookmarkEnd w:id="489"/>
      <w:bookmarkEnd w:id="490"/>
      <w:bookmarkEnd w:id="491"/>
      <w:bookmarkEnd w:id="492"/>
      <w:bookmarkEnd w:id="493"/>
      <w:bookmarkEnd w:id="494"/>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所有计量均采用中华人民共和国法定计量单位。</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495" w:name="_Toc1375466194"/>
      <w:bookmarkStart w:id="496" w:name="_Toc285153282"/>
      <w:bookmarkStart w:id="497" w:name="_Toc23437"/>
      <w:bookmarkStart w:id="498" w:name="_Toc18080"/>
      <w:bookmarkStart w:id="499" w:name="_Toc3171"/>
      <w:bookmarkStart w:id="500" w:name="_Toc13368"/>
      <w:bookmarkStart w:id="501" w:name="_Toc18142"/>
      <w:bookmarkStart w:id="502" w:name="_Toc3541"/>
      <w:bookmarkStart w:id="503" w:name="_Toc221950112"/>
      <w:r>
        <w:rPr>
          <w:rFonts w:hint="eastAsia"/>
          <w:color w:val="auto"/>
          <w:sz w:val="24"/>
          <w:szCs w:val="24"/>
          <w:highlight w:val="none"/>
        </w:rPr>
        <w:t>1.9 踏勘现场</w:t>
      </w:r>
      <w:bookmarkEnd w:id="495"/>
      <w:bookmarkEnd w:id="496"/>
      <w:bookmarkEnd w:id="497"/>
      <w:bookmarkEnd w:id="498"/>
      <w:bookmarkEnd w:id="499"/>
      <w:bookmarkEnd w:id="500"/>
      <w:bookmarkEnd w:id="501"/>
      <w:bookmarkEnd w:id="502"/>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9</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 xml:space="preserve"> 投标人须知前附表规定组织踏勘现场的，</w:t>
      </w:r>
      <w:bookmarkEnd w:id="503"/>
      <w:r>
        <w:rPr>
          <w:rFonts w:hint="eastAsia" w:ascii="宋体" w:hAnsi="宋体" w:cs="宋体"/>
          <w:color w:val="auto"/>
          <w:highlight w:val="none"/>
        </w:rPr>
        <w:t>招标人按投标人须知前附表规定的时间、地点组织投标人踏勘项目现场。</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9</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投标人踏勘现场发生的费用自理。</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9</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 xml:space="preserve"> 除招标人的原因外，投标人自行负责在踏勘现场中所发生的人员伤亡和财产损失。</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9</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 xml:space="preserve"> 招标人在踏勘现场中介绍的工程场地和相关的周边环境情况，供投标人在编制投标文件时参考，招标人不对投标人据此作出的判断和决策负责。</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504" w:name="_Toc8332"/>
      <w:bookmarkStart w:id="505" w:name="_Toc30534"/>
      <w:bookmarkStart w:id="506" w:name="_Toc16889"/>
      <w:bookmarkStart w:id="507" w:name="_Toc843012234"/>
      <w:bookmarkStart w:id="508" w:name="_Toc1257074126"/>
      <w:bookmarkStart w:id="509" w:name="_Toc12189"/>
      <w:bookmarkStart w:id="510" w:name="_Toc32598"/>
      <w:bookmarkStart w:id="511" w:name="_Toc21793"/>
      <w:r>
        <w:rPr>
          <w:rFonts w:hint="eastAsia"/>
          <w:color w:val="auto"/>
          <w:sz w:val="24"/>
          <w:szCs w:val="24"/>
          <w:highlight w:val="none"/>
        </w:rPr>
        <w:t>1.10 投标预备会</w:t>
      </w:r>
      <w:bookmarkEnd w:id="504"/>
      <w:bookmarkEnd w:id="505"/>
      <w:bookmarkEnd w:id="506"/>
      <w:bookmarkEnd w:id="507"/>
      <w:bookmarkEnd w:id="508"/>
      <w:bookmarkEnd w:id="509"/>
      <w:bookmarkEnd w:id="510"/>
      <w:bookmarkEnd w:id="511"/>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10</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投标人须知前附表规定召开投标预备会的，招标人按照投标人须知前附表规定的时间和地点召开投标预备会</w:t>
      </w:r>
      <w:r>
        <w:rPr>
          <w:rFonts w:hint="eastAsia" w:ascii="宋体" w:hAnsi="宋体" w:cs="宋体"/>
          <w:color w:val="auto"/>
          <w:highlight w:val="none"/>
        </w:rPr>
        <w:t>，澄清投标人提出的问题。</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10</w:t>
      </w:r>
      <w:r>
        <w:rPr>
          <w:rFonts w:hint="eastAsia" w:ascii="宋体" w:hAnsi="宋体" w:cs="宋体"/>
          <w:color w:val="auto"/>
          <w:szCs w:val="21"/>
          <w:highlight w:val="none"/>
        </w:rPr>
        <w:t>.</w:t>
      </w:r>
      <w:r>
        <w:rPr>
          <w:rFonts w:hint="eastAsia" w:cs="宋体"/>
          <w:color w:val="auto"/>
          <w:szCs w:val="21"/>
          <w:highlight w:val="none"/>
        </w:rPr>
        <w:t>2</w:t>
      </w:r>
      <w:r>
        <w:rPr>
          <w:rFonts w:hint="eastAsia"/>
          <w:color w:val="auto"/>
          <w:highlight w:val="none"/>
        </w:rPr>
        <w:t>在投标人须知前附表规定的时间前，投标人应使用CA数字证书</w:t>
      </w:r>
      <w:r>
        <w:rPr>
          <w:color w:val="auto"/>
          <w:highlight w:val="none"/>
        </w:rPr>
        <w:t>登录</w:t>
      </w:r>
      <w:r>
        <w:rPr>
          <w:rFonts w:hint="eastAsia"/>
          <w:color w:val="auto"/>
          <w:highlight w:val="none"/>
        </w:rPr>
        <w:t>“电子交易平台”，在“投标答疑”菜单以书面形式将提出的问题送达招标人，以便招标人在会议期间澄清。</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10</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投标预备会后，招标人</w:t>
      </w:r>
      <w:r>
        <w:rPr>
          <w:rFonts w:hint="eastAsia" w:ascii="宋体" w:hAnsi="宋体" w:cs="宋体"/>
          <w:color w:val="auto"/>
          <w:highlight w:val="none"/>
        </w:rPr>
        <w:t>在本章第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项规定的时间内</w:t>
      </w:r>
      <w:r>
        <w:rPr>
          <w:rFonts w:hint="eastAsia" w:ascii="宋体" w:hAnsi="宋体" w:cs="宋体"/>
          <w:color w:val="auto"/>
          <w:szCs w:val="21"/>
          <w:highlight w:val="none"/>
        </w:rPr>
        <w:t>，将对投标人所提问题的澄清，以书面形式通过“电子交易平台”通知所有下载招标文件的投标人。该澄清通知为招标文件的组成部分。</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512" w:name="_Toc735448311"/>
      <w:bookmarkStart w:id="513" w:name="_Toc30175"/>
      <w:bookmarkStart w:id="514" w:name="_Toc4598"/>
      <w:bookmarkStart w:id="515" w:name="_Toc3120"/>
      <w:bookmarkStart w:id="516" w:name="_Toc2189"/>
      <w:bookmarkStart w:id="517" w:name="_Toc15322"/>
      <w:bookmarkStart w:id="518" w:name="_Toc20234"/>
      <w:bookmarkStart w:id="519" w:name="_Toc1012374167"/>
      <w:r>
        <w:rPr>
          <w:rFonts w:hint="eastAsia"/>
          <w:color w:val="auto"/>
          <w:sz w:val="24"/>
          <w:szCs w:val="24"/>
          <w:highlight w:val="none"/>
        </w:rPr>
        <w:t>1.11 分包</w:t>
      </w:r>
      <w:bookmarkEnd w:id="512"/>
      <w:bookmarkEnd w:id="513"/>
      <w:bookmarkEnd w:id="514"/>
      <w:bookmarkEnd w:id="515"/>
      <w:bookmarkEnd w:id="516"/>
      <w:bookmarkEnd w:id="517"/>
      <w:bookmarkEnd w:id="518"/>
      <w:bookmarkEnd w:id="519"/>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vanish/>
          <w:color w:val="auto"/>
          <w:szCs w:val="21"/>
          <w:highlight w:val="none"/>
        </w:rPr>
        <w:t xml:space="preserve">招要11 </w:t>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r>
        <w:rPr>
          <w:rFonts w:hint="eastAsia" w:ascii="宋体" w:hAnsi="宋体" w:cs="宋体"/>
          <w:vanish/>
          <w:color w:val="auto"/>
          <w:szCs w:val="21"/>
          <w:highlight w:val="none"/>
        </w:rPr>
        <w:pgNum/>
      </w:r>
      <w:bookmarkStart w:id="520" w:name="_Toc221950129"/>
      <w:r>
        <w:rPr>
          <w:rFonts w:hint="eastAsia" w:ascii="宋体" w:hAnsi="宋体" w:cs="宋体"/>
          <w:vanish/>
          <w:color w:val="auto"/>
          <w:szCs w:val="21"/>
          <w:highlight w:val="none"/>
        </w:rPr>
        <w:t>1.111.11</w:t>
      </w:r>
      <w:bookmarkEnd w:id="520"/>
      <w:r>
        <w:rPr>
          <w:rFonts w:hint="eastAsia"/>
          <w:color w:val="auto"/>
          <w:highlight w:val="none"/>
        </w:rPr>
        <w:t>投标人拟在中标后将中标项目的部分非主体、非关键性工作进行分包的，应符合投标人须知前附表规定的分包内容、分包金额和接受分包的第三人资质要求等限制性条件。</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521" w:name="_Toc27367"/>
      <w:bookmarkStart w:id="522" w:name="_Toc30611"/>
      <w:bookmarkStart w:id="523" w:name="_Toc10595"/>
      <w:bookmarkStart w:id="524" w:name="_Toc5980"/>
      <w:bookmarkStart w:id="525" w:name="_Toc2019935380"/>
      <w:bookmarkStart w:id="526" w:name="_Toc32118"/>
      <w:bookmarkStart w:id="527" w:name="_Toc568214811"/>
      <w:bookmarkStart w:id="528" w:name="_Toc18919"/>
      <w:bookmarkStart w:id="529" w:name="_Toc221950134"/>
      <w:bookmarkStart w:id="530" w:name="_Toc179632559"/>
      <w:r>
        <w:rPr>
          <w:rFonts w:hint="eastAsia"/>
          <w:color w:val="auto"/>
          <w:sz w:val="24"/>
          <w:szCs w:val="24"/>
          <w:highlight w:val="none"/>
        </w:rPr>
        <w:t>1.12 偏离</w:t>
      </w:r>
      <w:bookmarkEnd w:id="521"/>
      <w:bookmarkEnd w:id="522"/>
      <w:bookmarkEnd w:id="523"/>
      <w:bookmarkEnd w:id="524"/>
      <w:bookmarkEnd w:id="525"/>
      <w:bookmarkEnd w:id="526"/>
      <w:bookmarkEnd w:id="527"/>
      <w:bookmarkEnd w:id="528"/>
    </w:p>
    <w:bookmarkEnd w:id="529"/>
    <w:bookmarkEnd w:id="530"/>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bookmarkStart w:id="531" w:name="_Toc221950135"/>
      <w:r>
        <w:rPr>
          <w:rFonts w:hint="eastAsia" w:ascii="宋体" w:hAnsi="宋体" w:cs="宋体"/>
          <w:color w:val="auto"/>
          <w:szCs w:val="21"/>
          <w:highlight w:val="none"/>
        </w:rPr>
        <w:t>投标文件不允许偏离招标文件的实质性要求和条件</w:t>
      </w:r>
      <w:bookmarkEnd w:id="531"/>
      <w:r>
        <w:rPr>
          <w:rFonts w:hint="eastAsia" w:ascii="宋体" w:hAnsi="宋体" w:cs="宋体"/>
          <w:color w:val="auto"/>
          <w:szCs w:val="21"/>
          <w:highlight w:val="none"/>
        </w:rPr>
        <w:t>。投标文件偏离招标文件的非实质性要求和条件的，其处理方式见投标人须知前附表。</w:t>
      </w:r>
      <w:bookmarkStart w:id="532" w:name="_Toc222030985"/>
      <w:bookmarkStart w:id="533" w:name="_Toc229305343"/>
      <w:bookmarkStart w:id="534" w:name="_Toc221950136"/>
      <w:bookmarkStart w:id="535" w:name="_Toc144974510"/>
      <w:bookmarkStart w:id="536" w:name="_Toc168476060"/>
      <w:bookmarkStart w:id="537" w:name="_Toc222032652"/>
      <w:bookmarkStart w:id="538" w:name="_Toc168475657"/>
      <w:bookmarkStart w:id="539" w:name="_Toc222029483"/>
      <w:bookmarkStart w:id="540" w:name="_Toc222033834"/>
    </w:p>
    <w:p>
      <w:pPr>
        <w:pStyle w:val="20"/>
        <w:spacing w:before="120" w:afterLines="50"/>
        <w:outlineLvl w:val="2"/>
        <w:rPr>
          <w:rFonts w:hint="eastAsia"/>
          <w:color w:val="auto"/>
          <w:highlight w:val="none"/>
        </w:rPr>
      </w:pPr>
      <w:bookmarkStart w:id="541" w:name="_Toc7304"/>
      <w:bookmarkStart w:id="542" w:name="_Toc13481"/>
      <w:bookmarkStart w:id="543" w:name="_Toc18171"/>
      <w:bookmarkStart w:id="544" w:name="_Toc3807"/>
      <w:bookmarkStart w:id="545" w:name="_Toc23773"/>
      <w:bookmarkStart w:id="546" w:name="_Toc9431735"/>
      <w:bookmarkStart w:id="547" w:name="_Toc27580"/>
      <w:bookmarkStart w:id="548" w:name="_Toc387753552"/>
      <w:bookmarkStart w:id="549" w:name="_Toc1776295213"/>
      <w:r>
        <w:rPr>
          <w:rFonts w:hint="eastAsia"/>
          <w:color w:val="auto"/>
          <w:highlight w:val="none"/>
        </w:rPr>
        <w:t>2. 招标文件</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550" w:name="_Toc152042319"/>
      <w:bookmarkStart w:id="551" w:name="_Toc30966"/>
      <w:bookmarkStart w:id="552" w:name="_Toc3084"/>
      <w:bookmarkStart w:id="553" w:name="_Toc179632561"/>
      <w:bookmarkStart w:id="554" w:name="_Toc152045543"/>
      <w:bookmarkStart w:id="555" w:name="_Toc26072"/>
      <w:bookmarkStart w:id="556" w:name="_Toc29349"/>
      <w:bookmarkStart w:id="557" w:name="_Toc7912554"/>
      <w:bookmarkStart w:id="558" w:name="_Toc2050399272"/>
      <w:bookmarkStart w:id="559" w:name="_Toc28860"/>
      <w:bookmarkStart w:id="560" w:name="_Toc144974511"/>
      <w:bookmarkStart w:id="561" w:name="_Toc24109"/>
      <w:r>
        <w:rPr>
          <w:rFonts w:hint="eastAsia"/>
          <w:color w:val="auto"/>
          <w:sz w:val="24"/>
          <w:szCs w:val="24"/>
          <w:highlight w:val="none"/>
        </w:rPr>
        <w:t>2.1 招标文件的组成</w:t>
      </w:r>
      <w:bookmarkEnd w:id="550"/>
      <w:bookmarkEnd w:id="551"/>
      <w:bookmarkEnd w:id="552"/>
      <w:bookmarkEnd w:id="553"/>
      <w:bookmarkEnd w:id="554"/>
      <w:bookmarkEnd w:id="555"/>
      <w:bookmarkEnd w:id="556"/>
      <w:bookmarkEnd w:id="557"/>
      <w:bookmarkEnd w:id="558"/>
      <w:bookmarkEnd w:id="559"/>
      <w:bookmarkEnd w:id="560"/>
      <w:bookmarkEnd w:id="561"/>
    </w:p>
    <w:p>
      <w:pPr>
        <w:pageBreakBefore w:val="0"/>
        <w:widowControl w:val="0"/>
        <w:kinsoku/>
        <w:wordWrap/>
        <w:overflowPunct/>
        <w:topLinePunct w:val="0"/>
        <w:bidi w:val="0"/>
        <w:snapToGrid/>
        <w:spacing w:line="360" w:lineRule="auto"/>
        <w:textAlignment w:val="auto"/>
        <w:outlineLvl w:val="9"/>
        <w:rPr>
          <w:rFonts w:ascii="宋体" w:hAnsi="宋体" w:cs="宋体"/>
          <w:color w:val="auto"/>
          <w:szCs w:val="21"/>
          <w:highlight w:val="none"/>
        </w:rPr>
      </w:pPr>
      <w:r>
        <w:rPr>
          <w:rFonts w:hint="eastAsia" w:ascii="宋体" w:hAnsi="宋体" w:cs="宋体"/>
          <w:color w:val="auto"/>
          <w:szCs w:val="21"/>
          <w:highlight w:val="none"/>
        </w:rPr>
        <w:t>　　本招标文件包括：</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）招标公告（或投标邀请书）；</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）投标人须知；</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）评标办法；</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）合同条款及格式；</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5</w:t>
      </w:r>
      <w:r>
        <w:rPr>
          <w:rFonts w:hint="eastAsia" w:ascii="宋体" w:hAnsi="宋体" w:cs="宋体"/>
          <w:color w:val="auto"/>
          <w:szCs w:val="21"/>
          <w:highlight w:val="none"/>
        </w:rPr>
        <w:t xml:space="preserve">）工程量清单； </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6</w:t>
      </w:r>
      <w:r>
        <w:rPr>
          <w:rFonts w:hint="eastAsia" w:ascii="宋体" w:hAnsi="宋体" w:cs="宋体"/>
          <w:color w:val="auto"/>
          <w:szCs w:val="21"/>
          <w:highlight w:val="none"/>
        </w:rPr>
        <w:t xml:space="preserve">）图纸； </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7</w:t>
      </w:r>
      <w:r>
        <w:rPr>
          <w:rFonts w:hint="eastAsia" w:ascii="宋体" w:hAnsi="宋体" w:cs="宋体"/>
          <w:color w:val="auto"/>
          <w:szCs w:val="21"/>
          <w:highlight w:val="none"/>
        </w:rPr>
        <w:t xml:space="preserve">）技术标准和要求； </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8</w:t>
      </w:r>
      <w:r>
        <w:rPr>
          <w:rFonts w:hint="eastAsia" w:ascii="宋体" w:hAnsi="宋体" w:cs="宋体"/>
          <w:color w:val="auto"/>
          <w:szCs w:val="21"/>
          <w:highlight w:val="none"/>
        </w:rPr>
        <w:t>）投标文件格式；</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9</w:t>
      </w:r>
      <w:r>
        <w:rPr>
          <w:rFonts w:hint="eastAsia" w:ascii="宋体" w:hAnsi="宋体" w:cs="宋体"/>
          <w:color w:val="auto"/>
          <w:szCs w:val="21"/>
          <w:highlight w:val="none"/>
        </w:rPr>
        <w:t>）投标人须知前附表规定的其他材料。</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根据本章第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10</w:t>
      </w:r>
      <w:r>
        <w:rPr>
          <w:rFonts w:hint="eastAsia" w:ascii="宋体" w:hAnsi="宋体" w:cs="宋体"/>
          <w:color w:val="auto"/>
          <w:szCs w:val="21"/>
          <w:highlight w:val="none"/>
        </w:rPr>
        <w:t>款、第</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款和第</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款对招标文件所作的澄清、修改，构成招标文件的组成部分。</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562" w:name="_Toc14703"/>
      <w:bookmarkStart w:id="563" w:name="_Toc7417"/>
      <w:bookmarkStart w:id="564" w:name="_Toc2095065971"/>
      <w:bookmarkStart w:id="565" w:name="_Toc11765"/>
      <w:bookmarkStart w:id="566" w:name="_Toc7075"/>
      <w:bookmarkStart w:id="567" w:name="_Toc2123569671"/>
      <w:bookmarkStart w:id="568" w:name="_Toc395776369"/>
      <w:bookmarkStart w:id="569" w:name="_Toc27456"/>
      <w:bookmarkStart w:id="570" w:name="_Toc18104"/>
      <w:bookmarkStart w:id="571" w:name="_Toc221950142"/>
      <w:bookmarkStart w:id="572" w:name="_Toc168476064"/>
      <w:bookmarkStart w:id="573" w:name="_Toc222030986"/>
      <w:bookmarkStart w:id="574" w:name="_Toc222033835"/>
      <w:bookmarkStart w:id="575" w:name="_Toc229305344"/>
      <w:bookmarkStart w:id="576" w:name="_Toc222032653"/>
      <w:bookmarkStart w:id="577" w:name="_Toc221950151"/>
      <w:bookmarkStart w:id="578" w:name="_Toc387753553"/>
      <w:bookmarkStart w:id="579" w:name="_Toc144974514"/>
      <w:bookmarkStart w:id="580" w:name="_Toc168475661"/>
      <w:bookmarkStart w:id="581" w:name="_Toc222029484"/>
      <w:r>
        <w:rPr>
          <w:rFonts w:hint="eastAsia"/>
          <w:color w:val="auto"/>
          <w:sz w:val="24"/>
          <w:szCs w:val="24"/>
          <w:highlight w:val="none"/>
        </w:rPr>
        <w:t>2.2 招标文件的澄清</w:t>
      </w:r>
      <w:bookmarkEnd w:id="562"/>
      <w:bookmarkEnd w:id="563"/>
      <w:bookmarkEnd w:id="564"/>
      <w:bookmarkEnd w:id="565"/>
      <w:bookmarkEnd w:id="566"/>
      <w:bookmarkEnd w:id="567"/>
      <w:bookmarkEnd w:id="568"/>
      <w:bookmarkEnd w:id="569"/>
      <w:bookmarkEnd w:id="570"/>
    </w:p>
    <w:bookmarkEnd w:id="571"/>
    <w:p>
      <w:pPr>
        <w:pStyle w:val="33"/>
        <w:pageBreakBefore w:val="0"/>
        <w:widowControl w:val="0"/>
        <w:kinsoku/>
        <w:wordWrap/>
        <w:overflowPunct/>
        <w:topLinePunct w:val="0"/>
        <w:bidi w:val="0"/>
        <w:snapToGrid/>
        <w:spacing w:line="360" w:lineRule="auto"/>
        <w:ind w:firstLine="420" w:firstLineChars="200"/>
        <w:textAlignment w:val="auto"/>
        <w:outlineLvl w:val="9"/>
        <w:rPr>
          <w:color w:val="auto"/>
          <w:sz w:val="21"/>
          <w:szCs w:val="21"/>
          <w:highlight w:val="none"/>
        </w:rPr>
      </w:pPr>
      <w:bookmarkStart w:id="582" w:name="_Toc395776370"/>
      <w:r>
        <w:rPr>
          <w:rFonts w:hint="eastAsia" w:ascii="Times New Roman" w:hAnsi="Times New Roman"/>
          <w:color w:val="auto"/>
          <w:sz w:val="21"/>
          <w:szCs w:val="21"/>
          <w:highlight w:val="none"/>
        </w:rPr>
        <w:t>2</w:t>
      </w:r>
      <w:r>
        <w:rPr>
          <w:rFonts w:hint="eastAsia"/>
          <w:color w:val="auto"/>
          <w:sz w:val="21"/>
          <w:szCs w:val="21"/>
          <w:highlight w:val="none"/>
        </w:rPr>
        <w:t>.</w:t>
      </w:r>
      <w:r>
        <w:rPr>
          <w:rFonts w:hint="eastAsia" w:ascii="Times New Roman" w:hAnsi="Times New Roman"/>
          <w:color w:val="auto"/>
          <w:sz w:val="21"/>
          <w:szCs w:val="21"/>
          <w:highlight w:val="none"/>
        </w:rPr>
        <w:t>2</w:t>
      </w:r>
      <w:r>
        <w:rPr>
          <w:rFonts w:hint="eastAsia"/>
          <w:color w:val="auto"/>
          <w:sz w:val="21"/>
          <w:szCs w:val="21"/>
          <w:highlight w:val="none"/>
        </w:rPr>
        <w:t>.</w:t>
      </w:r>
      <w:r>
        <w:rPr>
          <w:rFonts w:hint="eastAsia" w:ascii="Times New Roman" w:hAnsi="Times New Roman"/>
          <w:color w:val="auto"/>
          <w:sz w:val="21"/>
          <w:szCs w:val="21"/>
          <w:highlight w:val="none"/>
        </w:rPr>
        <w:t>1</w:t>
      </w:r>
      <w:r>
        <w:rPr>
          <w:rFonts w:hint="eastAsia"/>
          <w:color w:val="auto"/>
          <w:sz w:val="21"/>
          <w:szCs w:val="21"/>
          <w:highlight w:val="none"/>
        </w:rPr>
        <w:t>投标人应仔细阅读和检查招标文件的全部内容。如发现缺页或附件不全，应及时向招标人提出，以便补齐。如有疑问，应在投标人须知前附表规定的时间前，要求招标人对招标文件予以澄清</w:t>
      </w:r>
      <w:r>
        <w:rPr>
          <w:rFonts w:hint="eastAsia"/>
          <w:color w:val="auto"/>
          <w:sz w:val="21"/>
          <w:szCs w:val="21"/>
          <w:highlight w:val="none"/>
          <w:lang w:eastAsia="zh-CN"/>
        </w:rPr>
        <w:t>，按照电子交易平台的相关指南进行操作</w:t>
      </w:r>
      <w:r>
        <w:rPr>
          <w:rFonts w:hint="eastAsia"/>
          <w:color w:val="auto"/>
          <w:sz w:val="21"/>
          <w:szCs w:val="21"/>
          <w:highlight w:val="none"/>
        </w:rPr>
        <w:t>。</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kern w:val="0"/>
          <w:szCs w:val="21"/>
          <w:highlight w:val="none"/>
        </w:rPr>
      </w:pPr>
      <w:r>
        <w:rPr>
          <w:rFonts w:hint="eastAsia" w:cs="宋体"/>
          <w:color w:val="auto"/>
          <w:kern w:val="0"/>
          <w:szCs w:val="21"/>
          <w:highlight w:val="none"/>
        </w:rPr>
        <w:t>2</w:t>
      </w:r>
      <w:r>
        <w:rPr>
          <w:rFonts w:hint="eastAsia" w:ascii="宋体" w:hAnsi="宋体" w:cs="宋体"/>
          <w:color w:val="auto"/>
          <w:kern w:val="0"/>
          <w:szCs w:val="21"/>
          <w:highlight w:val="none"/>
        </w:rPr>
        <w:t>.</w:t>
      </w:r>
      <w:r>
        <w:rPr>
          <w:rFonts w:hint="eastAsia" w:cs="宋体"/>
          <w:color w:val="auto"/>
          <w:kern w:val="0"/>
          <w:szCs w:val="21"/>
          <w:highlight w:val="none"/>
        </w:rPr>
        <w:t>2</w:t>
      </w:r>
      <w:r>
        <w:rPr>
          <w:rFonts w:hint="eastAsia" w:ascii="宋体" w:hAnsi="宋体" w:cs="宋体"/>
          <w:color w:val="auto"/>
          <w:kern w:val="0"/>
          <w:szCs w:val="21"/>
          <w:highlight w:val="none"/>
        </w:rPr>
        <w:t>.</w:t>
      </w:r>
      <w:r>
        <w:rPr>
          <w:rFonts w:hint="eastAsia" w:cs="宋体"/>
          <w:color w:val="auto"/>
          <w:kern w:val="0"/>
          <w:szCs w:val="21"/>
          <w:highlight w:val="none"/>
        </w:rPr>
        <w:t>2</w:t>
      </w:r>
      <w:r>
        <w:rPr>
          <w:rFonts w:hint="eastAsia" w:ascii="宋体" w:hAnsi="宋体" w:cs="宋体"/>
          <w:color w:val="auto"/>
          <w:kern w:val="0"/>
          <w:szCs w:val="21"/>
          <w:highlight w:val="none"/>
        </w:rPr>
        <w:t>招标人对招标文件的澄清通过“</w:t>
      </w:r>
      <w:r>
        <w:rPr>
          <w:rFonts w:hint="eastAsia" w:ascii="宋体" w:hAnsi="宋体" w:cs="宋体"/>
          <w:color w:val="auto"/>
          <w:szCs w:val="21"/>
          <w:highlight w:val="none"/>
        </w:rPr>
        <w:t>电子交易平台”</w:t>
      </w:r>
      <w:r>
        <w:rPr>
          <w:rFonts w:hint="eastAsia" w:ascii="宋体" w:hAnsi="宋体" w:cs="宋体"/>
          <w:color w:val="auto"/>
          <w:kern w:val="0"/>
          <w:szCs w:val="21"/>
          <w:highlight w:val="none"/>
        </w:rPr>
        <w:t>发给所有下载招标文件的投标人，但不指明澄清问题的来源。如果澄清通知发出的时间距投标人须知前附表第</w:t>
      </w:r>
      <w:r>
        <w:rPr>
          <w:rFonts w:hint="eastAsia" w:cs="宋体"/>
          <w:color w:val="auto"/>
          <w:kern w:val="0"/>
          <w:szCs w:val="21"/>
          <w:highlight w:val="none"/>
        </w:rPr>
        <w:t>4</w:t>
      </w:r>
      <w:r>
        <w:rPr>
          <w:rFonts w:hint="eastAsia" w:ascii="宋体" w:hAnsi="宋体" w:cs="宋体"/>
          <w:color w:val="auto"/>
          <w:kern w:val="0"/>
          <w:szCs w:val="21"/>
          <w:highlight w:val="none"/>
        </w:rPr>
        <w:t>.</w:t>
      </w:r>
      <w:r>
        <w:rPr>
          <w:rFonts w:hint="eastAsia" w:cs="宋体"/>
          <w:color w:val="auto"/>
          <w:kern w:val="0"/>
          <w:szCs w:val="21"/>
          <w:highlight w:val="none"/>
        </w:rPr>
        <w:t>2</w:t>
      </w:r>
      <w:r>
        <w:rPr>
          <w:rFonts w:hint="eastAsia" w:ascii="宋体" w:hAnsi="宋体" w:cs="宋体"/>
          <w:color w:val="auto"/>
          <w:kern w:val="0"/>
          <w:szCs w:val="21"/>
          <w:highlight w:val="none"/>
        </w:rPr>
        <w:t>.</w:t>
      </w:r>
      <w:r>
        <w:rPr>
          <w:rFonts w:hint="eastAsia" w:cs="宋体"/>
          <w:color w:val="auto"/>
          <w:kern w:val="0"/>
          <w:szCs w:val="21"/>
          <w:highlight w:val="none"/>
        </w:rPr>
        <w:t>1</w:t>
      </w:r>
      <w:r>
        <w:rPr>
          <w:rFonts w:hint="eastAsia" w:ascii="宋体" w:hAnsi="宋体" w:cs="宋体"/>
          <w:color w:val="auto"/>
          <w:kern w:val="0"/>
          <w:szCs w:val="21"/>
          <w:highlight w:val="none"/>
        </w:rPr>
        <w:t>项规定的投标截止时间不足</w:t>
      </w:r>
      <w:r>
        <w:rPr>
          <w:rFonts w:hint="eastAsia" w:cs="宋体"/>
          <w:color w:val="auto"/>
          <w:kern w:val="0"/>
          <w:szCs w:val="21"/>
          <w:highlight w:val="none"/>
        </w:rPr>
        <w:t>15</w:t>
      </w:r>
      <w:r>
        <w:rPr>
          <w:rFonts w:hint="eastAsia" w:ascii="宋体" w:hAnsi="宋体" w:cs="宋体"/>
          <w:color w:val="auto"/>
          <w:kern w:val="0"/>
          <w:szCs w:val="21"/>
          <w:highlight w:val="none"/>
        </w:rPr>
        <w:t>日，并且澄清的内容影响投标文件编制的，相应延长投标截止时间。</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kern w:val="0"/>
          <w:szCs w:val="21"/>
          <w:highlight w:val="none"/>
        </w:rPr>
      </w:pPr>
      <w:r>
        <w:rPr>
          <w:rFonts w:hint="eastAsia" w:cs="宋体"/>
          <w:color w:val="auto"/>
          <w:kern w:val="0"/>
          <w:szCs w:val="21"/>
          <w:highlight w:val="none"/>
        </w:rPr>
        <w:t>2</w:t>
      </w:r>
      <w:r>
        <w:rPr>
          <w:rFonts w:hint="eastAsia" w:ascii="宋体" w:hAnsi="宋体" w:cs="宋体"/>
          <w:color w:val="auto"/>
          <w:kern w:val="0"/>
          <w:szCs w:val="21"/>
          <w:highlight w:val="none"/>
        </w:rPr>
        <w:t>.</w:t>
      </w:r>
      <w:r>
        <w:rPr>
          <w:rFonts w:hint="eastAsia" w:cs="宋体"/>
          <w:color w:val="auto"/>
          <w:kern w:val="0"/>
          <w:szCs w:val="21"/>
          <w:highlight w:val="none"/>
        </w:rPr>
        <w:t>2</w:t>
      </w:r>
      <w:r>
        <w:rPr>
          <w:rFonts w:hint="eastAsia" w:ascii="宋体" w:hAnsi="宋体" w:cs="宋体"/>
          <w:color w:val="auto"/>
          <w:kern w:val="0"/>
          <w:szCs w:val="21"/>
          <w:highlight w:val="none"/>
        </w:rPr>
        <w:t>.</w:t>
      </w:r>
      <w:r>
        <w:rPr>
          <w:rFonts w:hint="eastAsia" w:cs="宋体"/>
          <w:color w:val="auto"/>
          <w:kern w:val="0"/>
          <w:szCs w:val="21"/>
          <w:highlight w:val="none"/>
        </w:rPr>
        <w:t>3</w:t>
      </w:r>
      <w:r>
        <w:rPr>
          <w:rFonts w:hint="eastAsia" w:ascii="宋体" w:hAnsi="宋体" w:cs="宋体"/>
          <w:color w:val="auto"/>
          <w:kern w:val="0"/>
          <w:szCs w:val="21"/>
          <w:highlight w:val="none"/>
        </w:rPr>
        <w:t>投标人应实</w:t>
      </w:r>
      <w:r>
        <w:rPr>
          <w:rFonts w:hint="eastAsia"/>
          <w:color w:val="auto"/>
          <w:highlight w:val="none"/>
        </w:rPr>
        <w:t>时关注“电子交易平台”</w:t>
      </w:r>
      <w:r>
        <w:rPr>
          <w:rFonts w:hint="eastAsia" w:ascii="宋体" w:hAnsi="宋体" w:cs="宋体"/>
          <w:color w:val="auto"/>
          <w:kern w:val="0"/>
          <w:szCs w:val="21"/>
          <w:highlight w:val="none"/>
        </w:rPr>
        <w:t>上发出的澄清通知，因投标人自身原因未及时获知澄清内容而导致的任何后果将由投标人自行承担。</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583" w:name="_Toc19139"/>
      <w:bookmarkStart w:id="584" w:name="_Toc28519"/>
      <w:bookmarkStart w:id="585" w:name="_Toc1846727087"/>
      <w:bookmarkStart w:id="586" w:name="_Toc3748"/>
      <w:bookmarkStart w:id="587" w:name="_Toc6569"/>
      <w:bookmarkStart w:id="588" w:name="_Toc1788641439"/>
      <w:bookmarkStart w:id="589" w:name="_Toc1752"/>
      <w:bookmarkStart w:id="590" w:name="_Toc9601"/>
      <w:r>
        <w:rPr>
          <w:rFonts w:hint="eastAsia"/>
          <w:color w:val="auto"/>
          <w:sz w:val="24"/>
          <w:szCs w:val="24"/>
          <w:highlight w:val="none"/>
        </w:rPr>
        <w:t>2.3 招标文件的修改</w:t>
      </w:r>
      <w:bookmarkEnd w:id="582"/>
      <w:bookmarkEnd w:id="583"/>
      <w:bookmarkEnd w:id="584"/>
      <w:bookmarkEnd w:id="585"/>
      <w:bookmarkEnd w:id="586"/>
      <w:bookmarkEnd w:id="587"/>
      <w:bookmarkEnd w:id="588"/>
      <w:bookmarkEnd w:id="589"/>
      <w:bookmarkEnd w:id="590"/>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highlight w:val="none"/>
        </w:rPr>
      </w:pPr>
      <w:bookmarkStart w:id="591" w:name="_Toc395776371"/>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招标人可以书面形式修改招标文件，并通过“电子交易平台”通知所有下载招标文件的投标人。如果修改通知发出的时间距投标人须知前附表第</w:t>
      </w:r>
      <w:r>
        <w:rPr>
          <w:rFonts w:hint="eastAsia" w:cs="宋体"/>
          <w:color w:val="auto"/>
          <w:highlight w:val="none"/>
        </w:rPr>
        <w:t>4</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项规定的投标截止时间不足</w:t>
      </w:r>
      <w:r>
        <w:rPr>
          <w:rFonts w:hint="eastAsia" w:cs="宋体"/>
          <w:color w:val="auto"/>
          <w:highlight w:val="none"/>
        </w:rPr>
        <w:t>15</w:t>
      </w:r>
      <w:r>
        <w:rPr>
          <w:rFonts w:hint="eastAsia" w:ascii="宋体" w:hAnsi="宋体" w:cs="宋体"/>
          <w:color w:val="auto"/>
          <w:highlight w:val="none"/>
        </w:rPr>
        <w:t>日，并且修改的内容影响投标文件编制的，相应延长投标截止时间。</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highlight w:val="none"/>
        </w:rPr>
      </w:pP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投标人应实时</w:t>
      </w:r>
      <w:r>
        <w:rPr>
          <w:rFonts w:hint="eastAsia"/>
          <w:color w:val="auto"/>
          <w:highlight w:val="none"/>
        </w:rPr>
        <w:t>关注“电子交易平台”</w:t>
      </w:r>
      <w:r>
        <w:rPr>
          <w:rFonts w:hint="eastAsia" w:ascii="宋体" w:hAnsi="宋体" w:cs="宋体"/>
          <w:color w:val="auto"/>
          <w:highlight w:val="none"/>
        </w:rPr>
        <w:t>上发出的修改通知，因投标人自身原因未及时获知修改内容而导致的任何后果将由投标人自行承担。</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592" w:name="_Toc220747189"/>
      <w:bookmarkStart w:id="593" w:name="_Toc1306123847"/>
      <w:bookmarkStart w:id="594" w:name="_Toc7527"/>
      <w:bookmarkStart w:id="595" w:name="_Toc23615"/>
      <w:bookmarkStart w:id="596" w:name="_Toc32198"/>
      <w:bookmarkStart w:id="597" w:name="_Toc18444"/>
      <w:bookmarkStart w:id="598" w:name="_Toc29161"/>
      <w:bookmarkStart w:id="599" w:name="_Toc23287"/>
      <w:r>
        <w:rPr>
          <w:rFonts w:hint="eastAsia"/>
          <w:color w:val="auto"/>
          <w:sz w:val="24"/>
          <w:szCs w:val="24"/>
          <w:highlight w:val="none"/>
        </w:rPr>
        <w:t>2.4 招标文件的异议</w:t>
      </w:r>
      <w:bookmarkEnd w:id="591"/>
      <w:bookmarkEnd w:id="592"/>
      <w:bookmarkEnd w:id="593"/>
      <w:bookmarkEnd w:id="594"/>
      <w:bookmarkEnd w:id="595"/>
      <w:bookmarkEnd w:id="596"/>
      <w:bookmarkEnd w:id="597"/>
      <w:bookmarkEnd w:id="598"/>
      <w:bookmarkEnd w:id="599"/>
    </w:p>
    <w:p>
      <w:pPr>
        <w:pageBreakBefore w:val="0"/>
        <w:widowControl w:val="0"/>
        <w:kinsoku/>
        <w:wordWrap/>
        <w:overflowPunct/>
        <w:topLinePunct w:val="0"/>
        <w:bidi w:val="0"/>
        <w:snapToGrid/>
        <w:spacing w:line="360" w:lineRule="auto"/>
        <w:ind w:firstLine="462" w:firstLineChars="220"/>
        <w:textAlignment w:val="auto"/>
        <w:outlineLvl w:val="9"/>
        <w:rPr>
          <w:rFonts w:ascii="宋体" w:hAnsi="宋体" w:cs="宋体"/>
          <w:color w:val="auto"/>
          <w:highlight w:val="none"/>
        </w:rPr>
      </w:pP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投标人或者其他利害关系人对招标文件（包括对招标文件澄清和修改的内容）有异议的，应当在投标人须知前附表</w:t>
      </w:r>
      <w:r>
        <w:rPr>
          <w:rFonts w:hint="eastAsia" w:cs="宋体"/>
          <w:color w:val="auto"/>
          <w:highlight w:val="none"/>
        </w:rPr>
        <w:t>4</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项规定的投标截止时间</w:t>
      </w:r>
      <w:r>
        <w:rPr>
          <w:rFonts w:hint="eastAsia" w:cs="宋体"/>
          <w:color w:val="auto"/>
          <w:highlight w:val="none"/>
        </w:rPr>
        <w:t>10</w:t>
      </w:r>
      <w:r>
        <w:rPr>
          <w:rFonts w:hint="eastAsia" w:ascii="宋体" w:hAnsi="宋体" w:cs="宋体"/>
          <w:color w:val="auto"/>
          <w:highlight w:val="none"/>
        </w:rPr>
        <w:t>日前提出。招标人自收到异议之日起</w:t>
      </w:r>
      <w:r>
        <w:rPr>
          <w:rFonts w:hint="eastAsia" w:cs="宋体"/>
          <w:color w:val="auto"/>
          <w:highlight w:val="none"/>
        </w:rPr>
        <w:t>3</w:t>
      </w:r>
      <w:r>
        <w:rPr>
          <w:rFonts w:hint="eastAsia" w:ascii="宋体" w:hAnsi="宋体" w:cs="宋体"/>
          <w:color w:val="auto"/>
          <w:highlight w:val="none"/>
        </w:rPr>
        <w:t>日内作出答复；作出答复前，招标人将暂停招标投标活动。逾期提出的，招标人可</w:t>
      </w:r>
      <w:r>
        <w:rPr>
          <w:rFonts w:hint="eastAsia" w:ascii="宋体" w:hAnsi="宋体" w:cs="宋体"/>
          <w:color w:val="auto"/>
          <w:szCs w:val="21"/>
          <w:highlight w:val="none"/>
        </w:rPr>
        <w:t>不予受理</w:t>
      </w:r>
      <w:r>
        <w:rPr>
          <w:rFonts w:hint="eastAsia" w:ascii="宋体" w:hAnsi="宋体" w:cs="宋体"/>
          <w:color w:val="auto"/>
          <w:highlight w:val="none"/>
        </w:rPr>
        <w:t>。异议与答复应</w:t>
      </w:r>
      <w:r>
        <w:rPr>
          <w:rFonts w:hint="eastAsia" w:ascii="宋体" w:hAnsi="宋体" w:cs="宋体"/>
          <w:color w:val="auto"/>
          <w:szCs w:val="21"/>
          <w:highlight w:val="none"/>
        </w:rPr>
        <w:t>通过“电子交易平台”进行</w:t>
      </w:r>
      <w:r>
        <w:rPr>
          <w:rFonts w:hint="eastAsia" w:ascii="宋体" w:hAnsi="宋体" w:cs="宋体"/>
          <w:color w:val="auto"/>
          <w:highlight w:val="none"/>
        </w:rPr>
        <w:t>。</w:t>
      </w:r>
    </w:p>
    <w:p>
      <w:pPr>
        <w:pageBreakBefore w:val="0"/>
        <w:widowControl w:val="0"/>
        <w:kinsoku/>
        <w:wordWrap/>
        <w:overflowPunct/>
        <w:topLinePunct w:val="0"/>
        <w:bidi w:val="0"/>
        <w:snapToGrid/>
        <w:spacing w:line="360" w:lineRule="auto"/>
        <w:ind w:firstLine="462" w:firstLineChars="220"/>
        <w:textAlignment w:val="auto"/>
        <w:outlineLvl w:val="9"/>
        <w:rPr>
          <w:rFonts w:ascii="宋体" w:hAnsi="宋体" w:cs="宋体"/>
          <w:color w:val="auto"/>
          <w:highlight w:val="none"/>
        </w:rPr>
      </w:pPr>
      <w:r>
        <w:rPr>
          <w:rFonts w:hint="eastAsia" w:ascii="宋体" w:hAnsi="宋体" w:cs="宋体"/>
          <w:color w:val="auto"/>
          <w:highlight w:val="none"/>
        </w:rPr>
        <w:t>本处所称异议是指投标人或者其他利害关系人认为招标文件的内容</w:t>
      </w:r>
      <w:r>
        <w:rPr>
          <w:rFonts w:hint="eastAsia" w:ascii="宋体" w:hAnsi="宋体" w:cs="宋体"/>
          <w:color w:val="auto"/>
          <w:highlight w:val="none"/>
          <w:lang w:eastAsia="zh-CN"/>
        </w:rPr>
        <w:t>违反法律法规</w:t>
      </w:r>
      <w:r>
        <w:rPr>
          <w:rFonts w:hint="eastAsia" w:ascii="宋体" w:hAnsi="宋体" w:cs="宋体"/>
          <w:color w:val="auto"/>
          <w:highlight w:val="none"/>
        </w:rPr>
        <w:t>、规章的强制性规定，违反公开、公平、公正和诚实信用原则，影响投标人投标而向招标人提出的质疑。</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highlight w:val="none"/>
        </w:rPr>
      </w:pPr>
      <w:r>
        <w:rPr>
          <w:rFonts w:hint="eastAsia" w:cs="宋体"/>
          <w:bCs/>
          <w:color w:val="auto"/>
          <w:highlight w:val="none"/>
        </w:rPr>
        <w:t>2</w:t>
      </w:r>
      <w:r>
        <w:rPr>
          <w:rFonts w:hint="eastAsia" w:ascii="宋体" w:hAnsi="宋体" w:cs="宋体"/>
          <w:bCs/>
          <w:color w:val="auto"/>
          <w:highlight w:val="none"/>
        </w:rPr>
        <w:t>.</w:t>
      </w:r>
      <w:r>
        <w:rPr>
          <w:rFonts w:hint="eastAsia" w:cs="宋体"/>
          <w:bCs/>
          <w:color w:val="auto"/>
          <w:highlight w:val="none"/>
        </w:rPr>
        <w:t>4</w:t>
      </w:r>
      <w:r>
        <w:rPr>
          <w:rFonts w:hint="eastAsia" w:ascii="宋体" w:hAnsi="宋体" w:cs="宋体"/>
          <w:bCs/>
          <w:color w:val="auto"/>
          <w:highlight w:val="none"/>
        </w:rPr>
        <w:t>.</w:t>
      </w:r>
      <w:r>
        <w:rPr>
          <w:rFonts w:hint="eastAsia" w:cs="宋体"/>
          <w:bCs/>
          <w:color w:val="auto"/>
          <w:highlight w:val="none"/>
        </w:rPr>
        <w:t>2</w:t>
      </w:r>
      <w:r>
        <w:rPr>
          <w:rFonts w:hint="eastAsia" w:ascii="宋体" w:hAnsi="宋体" w:cs="宋体"/>
          <w:bCs/>
          <w:color w:val="auto"/>
          <w:highlight w:val="none"/>
        </w:rPr>
        <w:t>招标人对异议的答复构成对招标文件澄清或者修改的，</w:t>
      </w:r>
      <w:r>
        <w:rPr>
          <w:rFonts w:hint="eastAsia" w:ascii="宋体" w:hAnsi="宋体" w:cs="宋体"/>
          <w:color w:val="auto"/>
          <w:highlight w:val="none"/>
        </w:rPr>
        <w:t>招标人将按照本章第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款、第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款规定办理。</w:t>
      </w:r>
    </w:p>
    <w:p>
      <w:pPr>
        <w:pStyle w:val="20"/>
        <w:spacing w:before="120" w:afterLines="50"/>
        <w:outlineLvl w:val="2"/>
        <w:rPr>
          <w:rFonts w:hint="eastAsia"/>
          <w:color w:val="auto"/>
          <w:highlight w:val="none"/>
        </w:rPr>
      </w:pPr>
      <w:bookmarkStart w:id="600" w:name="_Toc29608"/>
      <w:bookmarkStart w:id="601" w:name="_Toc13403"/>
      <w:bookmarkStart w:id="602" w:name="_Toc6995"/>
      <w:bookmarkStart w:id="603" w:name="_Toc3651"/>
      <w:bookmarkStart w:id="604" w:name="_Toc20361"/>
      <w:bookmarkStart w:id="605" w:name="_Toc8343"/>
      <w:bookmarkStart w:id="606" w:name="_Toc1383675457"/>
      <w:bookmarkStart w:id="607" w:name="_Toc1317666139"/>
      <w:r>
        <w:rPr>
          <w:rFonts w:hint="eastAsia"/>
          <w:color w:val="auto"/>
          <w:highlight w:val="none"/>
        </w:rPr>
        <w:t>3. 投标文件</w:t>
      </w:r>
      <w:bookmarkEnd w:id="572"/>
      <w:bookmarkEnd w:id="573"/>
      <w:bookmarkEnd w:id="574"/>
      <w:bookmarkEnd w:id="575"/>
      <w:bookmarkEnd w:id="576"/>
      <w:bookmarkEnd w:id="577"/>
      <w:bookmarkEnd w:id="578"/>
      <w:bookmarkEnd w:id="579"/>
      <w:bookmarkEnd w:id="580"/>
      <w:bookmarkEnd w:id="581"/>
      <w:bookmarkEnd w:id="600"/>
      <w:bookmarkEnd w:id="601"/>
      <w:bookmarkEnd w:id="602"/>
      <w:bookmarkEnd w:id="603"/>
      <w:bookmarkEnd w:id="604"/>
      <w:bookmarkEnd w:id="605"/>
      <w:bookmarkEnd w:id="606"/>
      <w:bookmarkEnd w:id="607"/>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608" w:name="_Toc179632565"/>
      <w:bookmarkStart w:id="609" w:name="_Toc19862"/>
      <w:bookmarkStart w:id="610" w:name="_Toc152042323"/>
      <w:bookmarkStart w:id="611" w:name="_Toc3295"/>
      <w:bookmarkStart w:id="612" w:name="_Toc144974515"/>
      <w:bookmarkStart w:id="613" w:name="_Toc10502"/>
      <w:bookmarkStart w:id="614" w:name="_Toc823241798"/>
      <w:bookmarkStart w:id="615" w:name="_Toc428392008"/>
      <w:bookmarkStart w:id="616" w:name="_Toc152045547"/>
      <w:bookmarkStart w:id="617" w:name="_Toc1787"/>
      <w:bookmarkStart w:id="618" w:name="_Toc30639"/>
      <w:bookmarkStart w:id="619" w:name="_Toc14111"/>
      <w:r>
        <w:rPr>
          <w:rFonts w:hint="eastAsia"/>
          <w:color w:val="auto"/>
          <w:sz w:val="24"/>
          <w:szCs w:val="24"/>
          <w:highlight w:val="none"/>
        </w:rPr>
        <w:t>3.1 投标文件的组成</w:t>
      </w:r>
      <w:bookmarkEnd w:id="608"/>
      <w:bookmarkEnd w:id="609"/>
      <w:bookmarkEnd w:id="610"/>
      <w:bookmarkEnd w:id="611"/>
      <w:bookmarkEnd w:id="612"/>
      <w:bookmarkEnd w:id="613"/>
      <w:bookmarkEnd w:id="614"/>
      <w:bookmarkEnd w:id="615"/>
      <w:bookmarkEnd w:id="616"/>
      <w:bookmarkEnd w:id="617"/>
      <w:bookmarkEnd w:id="618"/>
      <w:bookmarkEnd w:id="619"/>
    </w:p>
    <w:p>
      <w:pPr>
        <w:pageBreakBefore w:val="0"/>
        <w:widowControl w:val="0"/>
        <w:kinsoku/>
        <w:wordWrap/>
        <w:overflowPunct/>
        <w:topLinePunct w:val="0"/>
        <w:bidi w:val="0"/>
        <w:snapToGrid/>
        <w:spacing w:line="360" w:lineRule="auto"/>
        <w:textAlignment w:val="auto"/>
        <w:outlineLvl w:val="9"/>
        <w:rPr>
          <w:rFonts w:ascii="宋体" w:hAnsi="宋体" w:cs="宋体"/>
          <w:color w:val="auto"/>
          <w:szCs w:val="21"/>
          <w:highlight w:val="none"/>
        </w:rPr>
      </w:pPr>
      <w:r>
        <w:rPr>
          <w:rFonts w:hint="eastAsia" w:ascii="宋体" w:hAnsi="宋体" w:cs="宋体"/>
          <w:color w:val="auto"/>
          <w:szCs w:val="21"/>
          <w:highlight w:val="none"/>
        </w:rPr>
        <w:t>　　</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投标文件应包括下列内容：</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）投标函及投标函附录；</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）法定代表人身份证明；</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）投标保证金；</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（4）联合体协议书；</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（5）拟分包项目情况表；</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 xml:space="preserve">）施工组织设计； </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）项目管理机构；</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）资格审查资料；</w:t>
      </w:r>
    </w:p>
    <w:p>
      <w:pPr>
        <w:pageBreakBefore w:val="0"/>
        <w:widowControl w:val="0"/>
        <w:kinsoku/>
        <w:wordWrap/>
        <w:overflowPunct/>
        <w:topLinePunct w:val="0"/>
        <w:bidi w:val="0"/>
        <w:snapToGrid/>
        <w:spacing w:line="360" w:lineRule="auto"/>
        <w:ind w:firstLine="359" w:firstLineChars="171"/>
        <w:textAlignment w:val="auto"/>
        <w:outlineLvl w:val="9"/>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农田建设项目信用承诺书；</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投标人须知前附表规定的其他材料。</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投标人须知前附表规定不接受联合体投标的，或投标人没有组成联合体的，投标文件不包括本章第</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 xml:space="preserve">）目所指的联合体协议书。 </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620" w:name="_Toc6195"/>
      <w:bookmarkStart w:id="621" w:name="_Toc19335"/>
      <w:bookmarkStart w:id="622" w:name="_Toc11250"/>
      <w:bookmarkStart w:id="623" w:name="_Toc152045548"/>
      <w:bookmarkStart w:id="624" w:name="_Toc127016271"/>
      <w:bookmarkStart w:id="625" w:name="_Toc179632566"/>
      <w:bookmarkStart w:id="626" w:name="_Toc31400"/>
      <w:bookmarkStart w:id="627" w:name="_Toc1036125780"/>
      <w:bookmarkStart w:id="628" w:name="_Toc152042324"/>
      <w:bookmarkStart w:id="629" w:name="_Toc144974516"/>
      <w:bookmarkStart w:id="630" w:name="_Toc16760"/>
      <w:bookmarkStart w:id="631" w:name="_Toc23279"/>
      <w:r>
        <w:rPr>
          <w:rFonts w:hint="eastAsia"/>
          <w:color w:val="auto"/>
          <w:sz w:val="24"/>
          <w:szCs w:val="24"/>
          <w:highlight w:val="none"/>
        </w:rPr>
        <w:t>3.2 投标报价</w:t>
      </w:r>
      <w:bookmarkEnd w:id="620"/>
      <w:bookmarkEnd w:id="621"/>
      <w:bookmarkEnd w:id="622"/>
      <w:bookmarkEnd w:id="623"/>
      <w:bookmarkEnd w:id="624"/>
      <w:bookmarkEnd w:id="625"/>
      <w:bookmarkEnd w:id="626"/>
      <w:bookmarkEnd w:id="627"/>
      <w:bookmarkEnd w:id="628"/>
      <w:bookmarkEnd w:id="629"/>
      <w:bookmarkEnd w:id="630"/>
      <w:bookmarkEnd w:id="631"/>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 xml:space="preserve"> 投标人应按</w:t>
      </w:r>
      <w:r>
        <w:rPr>
          <w:rFonts w:hint="eastAsia" w:ascii="宋体" w:hAnsi="宋体" w:cs="宋体"/>
          <w:color w:val="auto"/>
          <w:szCs w:val="21"/>
          <w:highlight w:val="none"/>
          <w:lang w:eastAsia="zh-CN"/>
        </w:rPr>
        <w:t>第五章</w:t>
      </w:r>
      <w:r>
        <w:rPr>
          <w:rFonts w:hint="eastAsia" w:ascii="宋体" w:hAnsi="宋体" w:cs="宋体"/>
          <w:color w:val="auto"/>
          <w:szCs w:val="21"/>
          <w:highlight w:val="none"/>
        </w:rPr>
        <w:t>“工程量清单”的要求填写相应表格。</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投标人在投标截止时间前修改投标函中的投标总报价，应同时修改</w:t>
      </w:r>
      <w:r>
        <w:rPr>
          <w:rFonts w:hint="eastAsia" w:ascii="宋体" w:hAnsi="宋体" w:cs="宋体"/>
          <w:color w:val="auto"/>
          <w:szCs w:val="21"/>
          <w:highlight w:val="none"/>
          <w:lang w:eastAsia="zh-CN"/>
        </w:rPr>
        <w:t>第五章</w:t>
      </w:r>
      <w:r>
        <w:rPr>
          <w:rFonts w:hint="eastAsia" w:ascii="宋体" w:hAnsi="宋体" w:cs="宋体"/>
          <w:color w:val="auto"/>
          <w:szCs w:val="21"/>
          <w:highlight w:val="none"/>
        </w:rPr>
        <w:t>“工程量清单”中的相应报价。此修改须符合本章第</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款的有关要求。　　</w:t>
      </w:r>
    </w:p>
    <w:p>
      <w:pPr>
        <w:pageBreakBefore w:val="0"/>
        <w:widowControl w:val="0"/>
        <w:kinsoku/>
        <w:wordWrap/>
        <w:overflowPunct/>
        <w:topLinePunct w:val="0"/>
        <w:bidi w:val="0"/>
        <w:snapToGrid/>
        <w:spacing w:line="360" w:lineRule="auto"/>
        <w:ind w:firstLine="420" w:firstLineChars="200"/>
        <w:textAlignment w:val="auto"/>
        <w:outlineLvl w:val="9"/>
        <w:rPr>
          <w:rFonts w:hint="eastAsia"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投标人投标函中的大写报价或算术错误修正后的投标总报价大于最高投标限价的，</w:t>
      </w:r>
      <w:r>
        <w:rPr>
          <w:rFonts w:ascii="宋体" w:hAnsi="宋体" w:cs="宋体"/>
          <w:color w:val="auto"/>
          <w:szCs w:val="21"/>
          <w:highlight w:val="none"/>
        </w:rPr>
        <w:t>其投标</w:t>
      </w:r>
      <w:r>
        <w:rPr>
          <w:rFonts w:hint="eastAsia" w:ascii="宋体" w:hAnsi="宋体" w:cs="宋体"/>
          <w:color w:val="auto"/>
          <w:szCs w:val="21"/>
          <w:highlight w:val="none"/>
        </w:rPr>
        <w:t>将被否决</w:t>
      </w:r>
      <w:r>
        <w:rPr>
          <w:rFonts w:ascii="宋体" w:hAnsi="宋体" w:cs="宋体"/>
          <w:color w:val="auto"/>
          <w:szCs w:val="21"/>
          <w:highlight w:val="none"/>
        </w:rPr>
        <w:t>。</w:t>
      </w:r>
      <w:r>
        <w:rPr>
          <w:rFonts w:hint="eastAsia" w:ascii="宋体" w:hAnsi="宋体" w:cs="宋体"/>
          <w:color w:val="auto"/>
          <w:szCs w:val="21"/>
          <w:highlight w:val="none"/>
        </w:rPr>
        <w:t>最高投标限价见投标人须知前附表。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3.2.4成本警示价见投标人须知前附表。对低于该警示价的投标报价，投标人必须提供详细的施工组织设计、单价、措施性费用、单价分析表、主要材料价格表、投标人成本分析供评标委员会评审，由评标委员会判定其是否低于企业自身成本。在评标过程中，评标委员会发现投标人的报价明显低于其他投标报价或者低于成本警示价，使得其投标报价可能低于其个别成本的，应当要求该投标人作出书面说明并提供相关证明材料。投标人不能合理说明或者不能提供相关证明材料的，由评标委员会认定该投标人以低于成本报价竞标，应当否决其投标。</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632" w:name="_Toc397810664"/>
      <w:bookmarkStart w:id="633" w:name="_Toc1211"/>
      <w:bookmarkStart w:id="634" w:name="_Toc15720"/>
      <w:bookmarkStart w:id="635" w:name="_Toc402"/>
      <w:bookmarkStart w:id="636" w:name="_Toc144974517"/>
      <w:bookmarkStart w:id="637" w:name="_Toc179632567"/>
      <w:bookmarkStart w:id="638" w:name="_Toc152045549"/>
      <w:bookmarkStart w:id="639" w:name="_Toc31332"/>
      <w:bookmarkStart w:id="640" w:name="_Toc1611401478"/>
      <w:bookmarkStart w:id="641" w:name="_Toc8863"/>
      <w:bookmarkStart w:id="642" w:name="_Toc152042325"/>
      <w:bookmarkStart w:id="643" w:name="_Toc12266"/>
      <w:r>
        <w:rPr>
          <w:rFonts w:hint="eastAsia"/>
          <w:color w:val="auto"/>
          <w:sz w:val="24"/>
          <w:szCs w:val="24"/>
          <w:highlight w:val="none"/>
        </w:rPr>
        <w:t>3.3 投标有效期</w:t>
      </w:r>
      <w:bookmarkEnd w:id="632"/>
      <w:bookmarkEnd w:id="633"/>
      <w:bookmarkEnd w:id="634"/>
      <w:bookmarkEnd w:id="635"/>
      <w:bookmarkEnd w:id="636"/>
      <w:bookmarkEnd w:id="637"/>
      <w:bookmarkEnd w:id="638"/>
      <w:bookmarkEnd w:id="639"/>
      <w:bookmarkEnd w:id="640"/>
      <w:bookmarkEnd w:id="641"/>
      <w:bookmarkEnd w:id="642"/>
      <w:bookmarkEnd w:id="643"/>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 xml:space="preserve"> 在投标人须知前附表规定的投标有效期内，投标人不得要求撤销或修改其投标文件。</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644" w:name="_Toc144974518"/>
      <w:bookmarkStart w:id="645" w:name="_Toc8694"/>
      <w:bookmarkStart w:id="646" w:name="_Toc152042326"/>
      <w:bookmarkStart w:id="647" w:name="_Toc26356"/>
      <w:bookmarkStart w:id="648" w:name="_Toc179632568"/>
      <w:bookmarkStart w:id="649" w:name="_Toc3616"/>
      <w:bookmarkStart w:id="650" w:name="_Toc26636"/>
      <w:bookmarkStart w:id="651" w:name="_Toc28336"/>
      <w:bookmarkStart w:id="652" w:name="_Toc16988"/>
      <w:bookmarkStart w:id="653" w:name="_Toc1022585472"/>
      <w:bookmarkStart w:id="654" w:name="_Toc152045550"/>
      <w:bookmarkStart w:id="655" w:name="_Toc781267123"/>
      <w:r>
        <w:rPr>
          <w:rFonts w:hint="eastAsia"/>
          <w:color w:val="auto"/>
          <w:sz w:val="24"/>
          <w:szCs w:val="24"/>
          <w:highlight w:val="none"/>
        </w:rPr>
        <w:t>3.4 投标保证金</w:t>
      </w:r>
      <w:bookmarkEnd w:id="644"/>
      <w:bookmarkEnd w:id="645"/>
      <w:bookmarkEnd w:id="646"/>
      <w:bookmarkEnd w:id="647"/>
      <w:bookmarkEnd w:id="648"/>
      <w:bookmarkEnd w:id="649"/>
      <w:bookmarkEnd w:id="650"/>
      <w:bookmarkEnd w:id="651"/>
      <w:bookmarkEnd w:id="652"/>
      <w:bookmarkEnd w:id="653"/>
      <w:bookmarkEnd w:id="654"/>
      <w:bookmarkEnd w:id="655"/>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highlight w:val="none"/>
        </w:rPr>
        <w:t>投标人须知</w:t>
      </w:r>
      <w:r>
        <w:rPr>
          <w:rFonts w:hint="eastAsia"/>
          <w:color w:val="auto"/>
          <w:highlight w:val="none"/>
        </w:rPr>
        <w:t>前附表规定提交</w:t>
      </w:r>
      <w:r>
        <w:rPr>
          <w:rFonts w:hint="eastAsia" w:ascii="宋体" w:hAnsi="宋体" w:cs="宋体"/>
          <w:color w:val="auto"/>
          <w:highlight w:val="none"/>
        </w:rPr>
        <w:t>投标保证金的，</w:t>
      </w:r>
      <w:r>
        <w:rPr>
          <w:rFonts w:hint="eastAsia" w:ascii="宋体" w:hAnsi="宋体" w:cs="宋体"/>
          <w:color w:val="auto"/>
          <w:szCs w:val="21"/>
          <w:highlight w:val="none"/>
        </w:rPr>
        <w:t>投标人在递交投标文件的同时，应按投标人须知前附表规定的形式、金额、递交截止时间、递交方式提交投标保证金，并作为其投标文件的组成部分。联合体投标的，其投标保证金由牵头人递交，并应符合投标人须知前附表的规定。</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投标人不按本章第</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项要求提交投标保证金的，其投标将被否决。</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 xml:space="preserve"> 招标人</w:t>
      </w:r>
      <w:r>
        <w:rPr>
          <w:rFonts w:hint="eastAsia"/>
          <w:color w:val="auto"/>
          <w:highlight w:val="none"/>
        </w:rPr>
        <w:t>最迟在</w:t>
      </w:r>
      <w:r>
        <w:rPr>
          <w:rFonts w:hint="eastAsia" w:ascii="宋体" w:hAnsi="宋体" w:cs="宋体"/>
          <w:color w:val="auto"/>
          <w:szCs w:val="21"/>
          <w:highlight w:val="none"/>
        </w:rPr>
        <w:t>与中标人签订合同后</w:t>
      </w:r>
      <w:r>
        <w:rPr>
          <w:rFonts w:hint="eastAsia" w:cs="宋体"/>
          <w:color w:val="auto"/>
          <w:szCs w:val="21"/>
          <w:highlight w:val="none"/>
        </w:rPr>
        <w:t>5</w:t>
      </w:r>
      <w:r>
        <w:rPr>
          <w:rFonts w:hint="eastAsia" w:ascii="宋体" w:hAnsi="宋体" w:cs="宋体"/>
          <w:color w:val="auto"/>
          <w:szCs w:val="21"/>
          <w:highlight w:val="none"/>
        </w:rPr>
        <w:t>日内，向未中标的投标人和中标人退还投标保证金。</w:t>
      </w:r>
      <w:r>
        <w:rPr>
          <w:rFonts w:hint="eastAsia" w:ascii="宋体" w:hAnsi="宋体" w:cs="宋体"/>
          <w:color w:val="auto"/>
          <w:highlight w:val="none"/>
        </w:rPr>
        <w:t>招标人同时退还投标保证金的银行同期存款利息。投标保证金及利息的计息标准和退还方式见投标人须知前附表。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 xml:space="preserve"> 有下列情形之一的，投标保证金将不予退还： </w:t>
      </w:r>
    </w:p>
    <w:p>
      <w:pPr>
        <w:pageBreakBefore w:val="0"/>
        <w:widowControl w:val="0"/>
        <w:kinsoku/>
        <w:wordWrap/>
        <w:overflowPunct/>
        <w:topLinePunct w:val="0"/>
        <w:bidi w:val="0"/>
        <w:snapToGrid/>
        <w:spacing w:line="360" w:lineRule="auto"/>
        <w:ind w:firstLine="718" w:firstLineChars="342"/>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）投标人在规定的投标有效期内撤销或修改其投标文件；</w:t>
      </w:r>
    </w:p>
    <w:p>
      <w:pPr>
        <w:pageBreakBefore w:val="0"/>
        <w:widowControl w:val="0"/>
        <w:kinsoku/>
        <w:wordWrap/>
        <w:overflowPunct/>
        <w:topLinePunct w:val="0"/>
        <w:bidi w:val="0"/>
        <w:snapToGrid/>
        <w:spacing w:line="360" w:lineRule="auto"/>
        <w:ind w:firstLine="718" w:firstLineChars="342"/>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）中标人在收到中标通知书后，</w:t>
      </w:r>
      <w:r>
        <w:rPr>
          <w:rFonts w:hint="eastAsia"/>
          <w:color w:val="auto"/>
          <w:highlight w:val="none"/>
        </w:rPr>
        <w:t>无正当理由拒签合同、在签订合同时向招标人提出附加条件或未按招标文件规定提交履约保证金。</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656" w:name="_Toc19487"/>
      <w:bookmarkStart w:id="657" w:name="_Toc26344"/>
      <w:bookmarkStart w:id="658" w:name="_Toc56915304"/>
      <w:bookmarkStart w:id="659" w:name="_Toc1363655580"/>
      <w:bookmarkStart w:id="660" w:name="_Toc22131"/>
      <w:bookmarkStart w:id="661" w:name="_Toc26546"/>
      <w:bookmarkStart w:id="662" w:name="_Toc11146"/>
      <w:bookmarkStart w:id="663" w:name="_Toc16623"/>
      <w:bookmarkStart w:id="664" w:name="_Toc221950168"/>
      <w:r>
        <w:rPr>
          <w:rFonts w:hint="eastAsia"/>
          <w:color w:val="auto"/>
          <w:sz w:val="24"/>
          <w:szCs w:val="24"/>
          <w:highlight w:val="none"/>
        </w:rPr>
        <w:t>3.5 资格审查资料</w:t>
      </w:r>
      <w:bookmarkEnd w:id="656"/>
      <w:bookmarkEnd w:id="657"/>
      <w:bookmarkEnd w:id="658"/>
      <w:bookmarkEnd w:id="659"/>
      <w:bookmarkEnd w:id="660"/>
      <w:bookmarkEnd w:id="661"/>
      <w:bookmarkEnd w:id="662"/>
      <w:bookmarkEnd w:id="663"/>
    </w:p>
    <w:bookmarkEnd w:id="664"/>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3.5.1投标人须按招标文件</w:t>
      </w:r>
      <w:r>
        <w:rPr>
          <w:rFonts w:hint="eastAsia"/>
          <w:color w:val="auto"/>
          <w:highlight w:val="none"/>
          <w:lang w:eastAsia="zh-CN"/>
        </w:rPr>
        <w:t>第八章</w:t>
      </w:r>
      <w:r>
        <w:rPr>
          <w:rFonts w:hint="eastAsia"/>
          <w:color w:val="auto"/>
          <w:highlight w:val="none"/>
        </w:rPr>
        <w:t>“投标文件格式”中规定的表格内容填写资格审查表，并按各资格审查表的具体要求提供相关证件及证明材料。</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本招标文件中“类似工程”的定义见投标人须知前附表。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3.5.2投标人须知前附表规定接受联合体投标的，本章第3.5.1项规定的表格和资料应包括联合体各方相关情况。</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665" w:name="_Toc2823"/>
      <w:bookmarkStart w:id="666" w:name="_Toc30131"/>
      <w:bookmarkStart w:id="667" w:name="_Toc18043"/>
      <w:bookmarkStart w:id="668" w:name="_Toc620919322"/>
      <w:bookmarkStart w:id="669" w:name="_Toc16824"/>
      <w:bookmarkStart w:id="670" w:name="_Toc20251"/>
      <w:bookmarkStart w:id="671" w:name="_Toc28207"/>
      <w:bookmarkStart w:id="672" w:name="_Toc87020690"/>
      <w:bookmarkStart w:id="673" w:name="_Toc221950172"/>
      <w:r>
        <w:rPr>
          <w:rFonts w:hint="eastAsia"/>
          <w:color w:val="auto"/>
          <w:sz w:val="24"/>
          <w:szCs w:val="24"/>
          <w:highlight w:val="none"/>
        </w:rPr>
        <w:t>3.6 备选投标方案</w:t>
      </w:r>
      <w:bookmarkEnd w:id="665"/>
      <w:bookmarkEnd w:id="666"/>
      <w:bookmarkEnd w:id="667"/>
      <w:bookmarkEnd w:id="668"/>
      <w:bookmarkEnd w:id="669"/>
      <w:bookmarkEnd w:id="670"/>
      <w:bookmarkEnd w:id="671"/>
      <w:bookmarkEnd w:id="672"/>
    </w:p>
    <w:bookmarkEnd w:id="673"/>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除投标人须知前附表另有规定外，投标人不得递交备选投标方案。允许投标人递交备选投标方案的，只有中标人所递交的备选投标方案方可予以考虑。评标委员会认为中标候选人递交的备选投标方案优于其按照招标文件要求编制的投标方案的，该中标候选人被确定为中标人后，招标人可以接受该备选投标方案。</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674" w:name="_Toc27173"/>
      <w:bookmarkStart w:id="675" w:name="_Toc4647"/>
      <w:bookmarkStart w:id="676" w:name="_Toc517"/>
      <w:bookmarkStart w:id="677" w:name="_Toc29192"/>
      <w:bookmarkStart w:id="678" w:name="_Toc387753554"/>
      <w:bookmarkStart w:id="679" w:name="_Toc32482"/>
      <w:bookmarkStart w:id="680" w:name="_Toc2719"/>
      <w:bookmarkStart w:id="681" w:name="_Toc1922558595"/>
      <w:bookmarkStart w:id="682" w:name="_Toc521370555"/>
      <w:r>
        <w:rPr>
          <w:rFonts w:hint="eastAsia"/>
          <w:color w:val="auto"/>
          <w:sz w:val="24"/>
          <w:szCs w:val="24"/>
          <w:highlight w:val="none"/>
        </w:rPr>
        <w:t>3.7 投标文件的编制</w:t>
      </w:r>
      <w:bookmarkEnd w:id="674"/>
      <w:bookmarkEnd w:id="675"/>
      <w:bookmarkEnd w:id="676"/>
      <w:bookmarkEnd w:id="677"/>
      <w:bookmarkEnd w:id="678"/>
      <w:bookmarkEnd w:id="679"/>
      <w:bookmarkEnd w:id="680"/>
      <w:bookmarkEnd w:id="681"/>
      <w:bookmarkEnd w:id="682"/>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bookmarkStart w:id="683" w:name="_Toc221950175"/>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投标文件应按</w:t>
      </w:r>
      <w:r>
        <w:rPr>
          <w:rFonts w:hint="eastAsia" w:ascii="宋体" w:hAnsi="宋体" w:cs="宋体"/>
          <w:color w:val="auto"/>
          <w:szCs w:val="21"/>
          <w:highlight w:val="none"/>
          <w:lang w:eastAsia="zh-CN"/>
        </w:rPr>
        <w:t>第八章</w:t>
      </w:r>
      <w:r>
        <w:rPr>
          <w:rFonts w:hint="eastAsia" w:ascii="宋体" w:hAnsi="宋体" w:cs="宋体"/>
          <w:color w:val="auto"/>
          <w:szCs w:val="21"/>
          <w:highlight w:val="none"/>
        </w:rPr>
        <w:t>“投标文件格式”进行编写，如有必要，可以增加附页，作为投标文件的组成部分。其中，投标函附录在满足招标文件实质性要求的基础上，可以提出比招标文件要求更有利于招标人的承诺。</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投标文件应当对招标文件有关工期、投标有效期、质量要求、技术标准和要求、招标范围等实质性内容做出响应。</w:t>
      </w:r>
    </w:p>
    <w:p>
      <w:pPr>
        <w:pStyle w:val="33"/>
        <w:pageBreakBefore w:val="0"/>
        <w:widowControl w:val="0"/>
        <w:kinsoku/>
        <w:wordWrap/>
        <w:overflowPunct/>
        <w:topLinePunct w:val="0"/>
        <w:bidi w:val="0"/>
        <w:snapToGrid/>
        <w:spacing w:line="360" w:lineRule="auto"/>
        <w:ind w:firstLine="420" w:firstLineChars="200"/>
        <w:textAlignment w:val="auto"/>
        <w:outlineLvl w:val="9"/>
        <w:rPr>
          <w:color w:val="auto"/>
          <w:sz w:val="21"/>
          <w:szCs w:val="21"/>
          <w:highlight w:val="none"/>
        </w:rPr>
      </w:pPr>
      <w:r>
        <w:rPr>
          <w:rFonts w:hint="eastAsia" w:ascii="Times New Roman" w:hAnsi="Times New Roman"/>
          <w:color w:val="auto"/>
          <w:sz w:val="21"/>
          <w:szCs w:val="21"/>
          <w:highlight w:val="none"/>
        </w:rPr>
        <w:t>3</w:t>
      </w:r>
      <w:r>
        <w:rPr>
          <w:rFonts w:hint="eastAsia"/>
          <w:color w:val="auto"/>
          <w:sz w:val="21"/>
          <w:szCs w:val="21"/>
          <w:highlight w:val="none"/>
        </w:rPr>
        <w:t>.</w:t>
      </w:r>
      <w:r>
        <w:rPr>
          <w:rFonts w:hint="eastAsia" w:ascii="Times New Roman" w:hAnsi="Times New Roman"/>
          <w:color w:val="auto"/>
          <w:sz w:val="21"/>
          <w:szCs w:val="21"/>
          <w:highlight w:val="none"/>
        </w:rPr>
        <w:t>7</w:t>
      </w:r>
      <w:r>
        <w:rPr>
          <w:rFonts w:hint="eastAsia"/>
          <w:color w:val="auto"/>
          <w:sz w:val="21"/>
          <w:szCs w:val="21"/>
          <w:highlight w:val="none"/>
        </w:rPr>
        <w:t>.</w:t>
      </w:r>
      <w:r>
        <w:rPr>
          <w:rFonts w:hint="eastAsia" w:ascii="Times New Roman" w:hAnsi="Times New Roman"/>
          <w:color w:val="auto"/>
          <w:sz w:val="21"/>
          <w:szCs w:val="21"/>
          <w:highlight w:val="none"/>
        </w:rPr>
        <w:t>3</w:t>
      </w:r>
      <w:r>
        <w:rPr>
          <w:rFonts w:hint="eastAsia"/>
          <w:color w:val="auto"/>
          <w:sz w:val="21"/>
          <w:szCs w:val="21"/>
          <w:highlight w:val="none"/>
        </w:rPr>
        <w:t xml:space="preserve"> 电子投标文件制作</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）电子投标文件由投标人使用“电子交易平台”提供的“电子投标文件制作软件”制作生成。</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）投标人在编制电子投标文件时应当建立分级目录，并按照标签提示导入相关内容。</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olor w:val="auto"/>
          <w:szCs w:val="21"/>
          <w:highlight w:val="none"/>
        </w:rPr>
        <w:t>（</w:t>
      </w:r>
      <w:r>
        <w:rPr>
          <w:rFonts w:hint="eastAsia"/>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电子投标文件中的</w:t>
      </w:r>
      <w:r>
        <w:rPr>
          <w:color w:val="auto"/>
          <w:highlight w:val="none"/>
        </w:rPr>
        <w:t>证明</w:t>
      </w:r>
      <w:r>
        <w:rPr>
          <w:rFonts w:hint="eastAsia"/>
          <w:color w:val="auto"/>
          <w:highlight w:val="none"/>
        </w:rPr>
        <w:t>材料均为相关</w:t>
      </w:r>
      <w:r>
        <w:rPr>
          <w:color w:val="auto"/>
          <w:highlight w:val="none"/>
        </w:rPr>
        <w:t>原件的</w:t>
      </w:r>
      <w:r>
        <w:rPr>
          <w:rFonts w:hint="eastAsia"/>
          <w:color w:val="auto"/>
          <w:highlight w:val="none"/>
        </w:rPr>
        <w:t>“</w:t>
      </w:r>
      <w:r>
        <w:rPr>
          <w:color w:val="auto"/>
          <w:highlight w:val="none"/>
        </w:rPr>
        <w:t>扫描件</w:t>
      </w:r>
      <w:r>
        <w:rPr>
          <w:rFonts w:ascii="宋体" w:hAnsi="宋体"/>
          <w:color w:val="auto"/>
          <w:szCs w:val="21"/>
          <w:highlight w:val="none"/>
        </w:rPr>
        <w:t>”，</w:t>
      </w:r>
      <w:r>
        <w:rPr>
          <w:rFonts w:hint="eastAsia" w:ascii="宋体" w:hAnsi="宋体"/>
          <w:color w:val="auto"/>
          <w:szCs w:val="21"/>
          <w:highlight w:val="none"/>
        </w:rPr>
        <w:t>应从“</w:t>
      </w:r>
      <w:r>
        <w:rPr>
          <w:rFonts w:ascii="宋体" w:hAnsi="宋体"/>
          <w:color w:val="auto"/>
          <w:szCs w:val="21"/>
          <w:highlight w:val="none"/>
        </w:rPr>
        <w:t>电子</w:t>
      </w:r>
      <w:r>
        <w:rPr>
          <w:rFonts w:hint="eastAsia" w:ascii="宋体" w:hAnsi="宋体"/>
          <w:color w:val="auto"/>
          <w:szCs w:val="21"/>
          <w:highlight w:val="none"/>
        </w:rPr>
        <w:t>交易</w:t>
      </w:r>
      <w:r>
        <w:rPr>
          <w:rFonts w:ascii="宋体" w:hAnsi="宋体"/>
          <w:color w:val="auto"/>
          <w:szCs w:val="21"/>
          <w:highlight w:val="none"/>
        </w:rPr>
        <w:t>平台”</w:t>
      </w:r>
      <w:r>
        <w:rPr>
          <w:rFonts w:hint="eastAsia" w:ascii="宋体" w:hAnsi="宋体"/>
          <w:color w:val="auto"/>
          <w:szCs w:val="21"/>
          <w:highlight w:val="none"/>
        </w:rPr>
        <w:t>交易主体诚信库中选择，交易主体诚信库中没有的</w:t>
      </w:r>
      <w:r>
        <w:rPr>
          <w:rFonts w:hint="eastAsia"/>
          <w:color w:val="auto"/>
          <w:highlight w:val="none"/>
        </w:rPr>
        <w:t>“</w:t>
      </w:r>
      <w:r>
        <w:rPr>
          <w:color w:val="auto"/>
          <w:highlight w:val="none"/>
        </w:rPr>
        <w:t>扫描件</w:t>
      </w:r>
      <w:r>
        <w:rPr>
          <w:rFonts w:ascii="宋体" w:hAnsi="宋体"/>
          <w:color w:val="auto"/>
          <w:szCs w:val="21"/>
          <w:highlight w:val="none"/>
        </w:rPr>
        <w:t>”</w:t>
      </w:r>
      <w:r>
        <w:rPr>
          <w:rFonts w:hint="eastAsia" w:ascii="宋体" w:hAnsi="宋体"/>
          <w:color w:val="auto"/>
          <w:szCs w:val="21"/>
          <w:highlight w:val="none"/>
        </w:rPr>
        <w:t>，应以附件形式直接导入，</w:t>
      </w:r>
      <w:r>
        <w:rPr>
          <w:rFonts w:ascii="宋体" w:hAnsi="宋体"/>
          <w:color w:val="auto"/>
          <w:szCs w:val="21"/>
          <w:highlight w:val="none"/>
        </w:rPr>
        <w:t>未标示</w:t>
      </w:r>
      <w:r>
        <w:rPr>
          <w:rFonts w:hint="eastAsia"/>
          <w:color w:val="auto"/>
          <w:highlight w:val="none"/>
        </w:rPr>
        <w:t>“</w:t>
      </w:r>
      <w:r>
        <w:rPr>
          <w:color w:val="auto"/>
          <w:highlight w:val="none"/>
        </w:rPr>
        <w:t>扫描件</w:t>
      </w:r>
      <w:r>
        <w:rPr>
          <w:rFonts w:ascii="宋体" w:hAnsi="宋体"/>
          <w:color w:val="auto"/>
          <w:szCs w:val="21"/>
          <w:highlight w:val="none"/>
        </w:rPr>
        <w:t>”的证明</w:t>
      </w:r>
      <w:r>
        <w:rPr>
          <w:rFonts w:hint="eastAsia" w:ascii="宋体" w:hAnsi="宋体"/>
          <w:color w:val="auto"/>
          <w:szCs w:val="21"/>
          <w:highlight w:val="none"/>
        </w:rPr>
        <w:t>材料</w:t>
      </w:r>
      <w:r>
        <w:rPr>
          <w:rFonts w:ascii="宋体" w:hAnsi="宋体"/>
          <w:color w:val="auto"/>
          <w:szCs w:val="21"/>
          <w:highlight w:val="none"/>
        </w:rPr>
        <w:t>均应直接制作生成。</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（4）</w:t>
      </w:r>
      <w:r>
        <w:rPr>
          <w:rFonts w:hint="eastAsia"/>
          <w:color w:val="auto"/>
          <w:highlight w:val="none"/>
          <w:lang w:eastAsia="zh-CN"/>
        </w:rPr>
        <w:t>第八章</w:t>
      </w:r>
      <w:r>
        <w:rPr>
          <w:rFonts w:hint="eastAsia"/>
          <w:color w:val="auto"/>
          <w:highlight w:val="none"/>
        </w:rPr>
        <w:t>投标文件格式文件</w:t>
      </w:r>
      <w:r>
        <w:rPr>
          <w:rFonts w:hint="eastAsia"/>
          <w:color w:val="auto"/>
          <w:szCs w:val="21"/>
          <w:highlight w:val="none"/>
        </w:rPr>
        <w:t>（包括投标总价封面）</w:t>
      </w:r>
      <w:r>
        <w:rPr>
          <w:rFonts w:hint="eastAsia"/>
          <w:color w:val="auto"/>
          <w:highlight w:val="none"/>
        </w:rPr>
        <w:t>要求“盖单位章”的地方，投标人应使用</w:t>
      </w:r>
      <w:r>
        <w:rPr>
          <w:color w:val="auto"/>
          <w:highlight w:val="none"/>
        </w:rPr>
        <w:t xml:space="preserve">CA </w:t>
      </w:r>
      <w:r>
        <w:rPr>
          <w:rFonts w:hint="eastAsia"/>
          <w:color w:val="auto"/>
          <w:highlight w:val="none"/>
        </w:rPr>
        <w:t>数字证书加盖投标人的单位电子印章；要求“签字”的地方，投标人应使用</w:t>
      </w:r>
      <w:r>
        <w:rPr>
          <w:color w:val="auto"/>
          <w:highlight w:val="none"/>
        </w:rPr>
        <w:t xml:space="preserve">CA </w:t>
      </w:r>
      <w:r>
        <w:rPr>
          <w:rFonts w:hint="eastAsia"/>
          <w:color w:val="auto"/>
          <w:highlight w:val="none"/>
        </w:rPr>
        <w:t>数字证书加盖法定代表人的个人电子印章或电子签名章，或在线下完成后扫描上传。</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联合体投标的，投标文件由联合体牵头人按上述规定在要求“盖单位章”的地方加盖联合体牵头人单位电子印章；在要求“签字”的地方加盖联合体牵头人法定代表人的个人电子印章或电子签名章，或在线下完成后扫描上传。招标文件有特别说明的除外。</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olor w:val="auto"/>
          <w:highlight w:val="none"/>
        </w:rPr>
        <w:t>联合体投标的，由联合体牵头单位负责上传投标文件和加盖电子印章；投标文件封面及其他内容落款中的“投标人”应填写联合体各方的单位全称【格式为：（主）XXXX公司（成）XXXXX公司】；除联合体协议书必须由联合体成员各方盖章或签字外，投标文件其他需要盖章或签字的部分可仅由联合体牵头人盖章或签字，视作符合要求。投标文件中需个人签字或盖章的，可在线下完成后扫描上传，按照交易平台的相关指南进行操作。</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w:t>
      </w:r>
      <w:r>
        <w:rPr>
          <w:rFonts w:hint="eastAsia"/>
          <w:color w:val="auto"/>
          <w:szCs w:val="21"/>
          <w:highlight w:val="none"/>
        </w:rPr>
        <w:t>5</w:t>
      </w:r>
      <w:r>
        <w:rPr>
          <w:rFonts w:hint="eastAsia" w:ascii="宋体" w:hAnsi="宋体"/>
          <w:color w:val="auto"/>
          <w:szCs w:val="21"/>
          <w:highlight w:val="none"/>
        </w:rPr>
        <w:t>）</w:t>
      </w:r>
      <w:r>
        <w:rPr>
          <w:rFonts w:ascii="宋体" w:hAnsi="宋体"/>
          <w:color w:val="auto"/>
          <w:szCs w:val="21"/>
          <w:highlight w:val="none"/>
        </w:rPr>
        <w:t>电子投标文件</w:t>
      </w:r>
      <w:r>
        <w:rPr>
          <w:rFonts w:hint="eastAsia" w:ascii="宋体" w:hAnsi="宋体"/>
          <w:color w:val="auto"/>
          <w:szCs w:val="21"/>
          <w:highlight w:val="none"/>
        </w:rPr>
        <w:t>制作完成后</w:t>
      </w:r>
      <w:r>
        <w:rPr>
          <w:rFonts w:ascii="宋体" w:hAnsi="宋体"/>
          <w:color w:val="auto"/>
          <w:szCs w:val="21"/>
          <w:highlight w:val="none"/>
        </w:rPr>
        <w:t>，</w:t>
      </w:r>
      <w:r>
        <w:rPr>
          <w:rFonts w:hint="eastAsia" w:ascii="宋体" w:hAnsi="宋体"/>
          <w:color w:val="auto"/>
          <w:szCs w:val="21"/>
          <w:highlight w:val="none"/>
        </w:rPr>
        <w:t>必须进行加密（不含备用光盘）。</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6</w:t>
      </w:r>
      <w:r>
        <w:rPr>
          <w:rFonts w:hint="eastAsia" w:ascii="宋体" w:hAnsi="宋体" w:cs="宋体"/>
          <w:color w:val="auto"/>
          <w:szCs w:val="21"/>
          <w:highlight w:val="none"/>
        </w:rPr>
        <w:t>）电子投标文件制作的具体方法详见交易平台的相关指南。</w:t>
      </w:r>
    </w:p>
    <w:bookmarkEnd w:id="683"/>
    <w:p>
      <w:pPr>
        <w:pStyle w:val="20"/>
        <w:spacing w:before="120" w:afterLines="50"/>
        <w:outlineLvl w:val="2"/>
        <w:rPr>
          <w:rFonts w:hint="eastAsia"/>
          <w:color w:val="auto"/>
          <w:highlight w:val="none"/>
        </w:rPr>
      </w:pPr>
      <w:bookmarkStart w:id="684" w:name="_Toc9415"/>
      <w:bookmarkStart w:id="685" w:name="_Toc12046"/>
      <w:bookmarkStart w:id="686" w:name="_Toc10244"/>
      <w:bookmarkStart w:id="687" w:name="_Toc28127"/>
      <w:bookmarkStart w:id="688" w:name="_Toc5861"/>
      <w:bookmarkStart w:id="689" w:name="_Toc21610"/>
      <w:bookmarkStart w:id="690" w:name="_Toc705778426"/>
      <w:bookmarkStart w:id="691" w:name="_Toc387753555"/>
      <w:bookmarkStart w:id="692" w:name="_Toc522569678"/>
      <w:r>
        <w:rPr>
          <w:rFonts w:hint="eastAsia"/>
          <w:color w:val="auto"/>
          <w:highlight w:val="none"/>
        </w:rPr>
        <w:t>4. 投标</w:t>
      </w:r>
      <w:bookmarkEnd w:id="684"/>
      <w:bookmarkEnd w:id="685"/>
      <w:bookmarkEnd w:id="686"/>
      <w:bookmarkEnd w:id="687"/>
      <w:bookmarkEnd w:id="688"/>
      <w:bookmarkEnd w:id="689"/>
      <w:bookmarkEnd w:id="690"/>
      <w:bookmarkEnd w:id="691"/>
      <w:bookmarkEnd w:id="692"/>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693" w:name="_Toc152045556"/>
      <w:bookmarkStart w:id="694" w:name="_Toc179632574"/>
      <w:bookmarkStart w:id="695" w:name="_Toc144974524"/>
      <w:bookmarkStart w:id="696" w:name="_Toc152042332"/>
      <w:bookmarkStart w:id="697" w:name="_Toc515570322"/>
      <w:bookmarkStart w:id="698" w:name="_Toc8818"/>
      <w:bookmarkStart w:id="699" w:name="_Toc569625122"/>
      <w:bookmarkStart w:id="700" w:name="_Toc14330"/>
      <w:bookmarkStart w:id="701" w:name="_Toc2017683197"/>
      <w:bookmarkStart w:id="702" w:name="_Toc25205"/>
      <w:bookmarkStart w:id="703" w:name="_Toc29505"/>
      <w:bookmarkStart w:id="704" w:name="_Toc13292"/>
      <w:bookmarkStart w:id="705" w:name="_Toc17105"/>
      <w:r>
        <w:rPr>
          <w:rFonts w:hint="eastAsia"/>
          <w:color w:val="auto"/>
          <w:sz w:val="24"/>
          <w:szCs w:val="24"/>
          <w:highlight w:val="none"/>
        </w:rPr>
        <w:t>4.1 投标文件的</w:t>
      </w:r>
      <w:bookmarkEnd w:id="693"/>
      <w:bookmarkEnd w:id="694"/>
      <w:bookmarkEnd w:id="695"/>
      <w:bookmarkEnd w:id="696"/>
      <w:r>
        <w:rPr>
          <w:rFonts w:hint="eastAsia"/>
          <w:color w:val="auto"/>
          <w:sz w:val="24"/>
          <w:szCs w:val="24"/>
          <w:highlight w:val="none"/>
        </w:rPr>
        <w:t>加密</w:t>
      </w:r>
      <w:bookmarkEnd w:id="697"/>
      <w:bookmarkEnd w:id="698"/>
      <w:bookmarkEnd w:id="699"/>
      <w:bookmarkEnd w:id="700"/>
      <w:bookmarkEnd w:id="701"/>
      <w:bookmarkEnd w:id="702"/>
      <w:bookmarkEnd w:id="703"/>
      <w:bookmarkEnd w:id="704"/>
      <w:bookmarkEnd w:id="705"/>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投标人应当按照</w:t>
      </w:r>
      <w:r>
        <w:rPr>
          <w:color w:val="auto"/>
          <w:highlight w:val="none"/>
        </w:rPr>
        <w:t>本章第3.</w:t>
      </w:r>
      <w:r>
        <w:rPr>
          <w:rFonts w:hint="eastAsia"/>
          <w:color w:val="auto"/>
          <w:highlight w:val="none"/>
        </w:rPr>
        <w:t>7.3</w:t>
      </w:r>
      <w:r>
        <w:rPr>
          <w:color w:val="auto"/>
          <w:highlight w:val="none"/>
        </w:rPr>
        <w:t>项要求制作</w:t>
      </w:r>
      <w:r>
        <w:rPr>
          <w:rFonts w:hint="eastAsia"/>
          <w:color w:val="auto"/>
          <w:highlight w:val="none"/>
        </w:rPr>
        <w:t>电子投标文件，并在投标时上传</w:t>
      </w:r>
      <w:r>
        <w:rPr>
          <w:rFonts w:hint="eastAsia"/>
          <w:b/>
          <w:color w:val="auto"/>
          <w:highlight w:val="none"/>
        </w:rPr>
        <w:t>加密的电子投标文件</w:t>
      </w:r>
      <w:r>
        <w:rPr>
          <w:rFonts w:hint="eastAsia"/>
          <w:color w:val="auto"/>
          <w:highlight w:val="none"/>
        </w:rPr>
        <w:t>，未</w:t>
      </w:r>
      <w:r>
        <w:rPr>
          <w:color w:val="auto"/>
          <w:highlight w:val="none"/>
        </w:rPr>
        <w:t>加密的</w:t>
      </w:r>
      <w:r>
        <w:rPr>
          <w:rFonts w:hint="eastAsia"/>
          <w:color w:val="auto"/>
          <w:highlight w:val="none"/>
        </w:rPr>
        <w:t>电子</w:t>
      </w:r>
      <w:r>
        <w:rPr>
          <w:color w:val="auto"/>
          <w:highlight w:val="none"/>
        </w:rPr>
        <w:t>投标文件，</w:t>
      </w:r>
      <w:r>
        <w:rPr>
          <w:rFonts w:hint="eastAsia"/>
          <w:color w:val="auto"/>
          <w:highlight w:val="none"/>
        </w:rPr>
        <w:t>招标人（“</w:t>
      </w:r>
      <w:r>
        <w:rPr>
          <w:color w:val="auto"/>
          <w:highlight w:val="none"/>
        </w:rPr>
        <w:t>电子</w:t>
      </w:r>
      <w:r>
        <w:rPr>
          <w:rFonts w:hint="eastAsia"/>
          <w:color w:val="auto"/>
          <w:highlight w:val="none"/>
        </w:rPr>
        <w:t>交易平台”）将拒收并提示。</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706" w:name="_Toc179632575"/>
      <w:bookmarkStart w:id="707" w:name="_Toc152042333"/>
      <w:bookmarkStart w:id="708" w:name="_Toc32593"/>
      <w:bookmarkStart w:id="709" w:name="_Toc144974525"/>
      <w:bookmarkStart w:id="710" w:name="_Toc335385243"/>
      <w:bookmarkStart w:id="711" w:name="_Toc17893"/>
      <w:bookmarkStart w:id="712" w:name="_Toc152045557"/>
      <w:bookmarkStart w:id="713" w:name="_Toc1508"/>
      <w:bookmarkStart w:id="714" w:name="_Toc884949357"/>
      <w:bookmarkStart w:id="715" w:name="_Toc486"/>
      <w:bookmarkStart w:id="716" w:name="_Toc26787"/>
      <w:bookmarkStart w:id="717" w:name="_Toc175"/>
      <w:bookmarkStart w:id="718" w:name="_Toc515570323"/>
      <w:r>
        <w:rPr>
          <w:rFonts w:hint="eastAsia"/>
          <w:color w:val="auto"/>
          <w:sz w:val="24"/>
          <w:szCs w:val="24"/>
          <w:highlight w:val="none"/>
        </w:rPr>
        <w:t>4.2 投标文件的递交</w:t>
      </w:r>
      <w:bookmarkEnd w:id="706"/>
      <w:bookmarkEnd w:id="707"/>
      <w:bookmarkEnd w:id="708"/>
      <w:bookmarkEnd w:id="709"/>
      <w:bookmarkEnd w:id="710"/>
      <w:bookmarkEnd w:id="711"/>
      <w:bookmarkEnd w:id="712"/>
      <w:bookmarkEnd w:id="713"/>
      <w:bookmarkEnd w:id="714"/>
      <w:bookmarkEnd w:id="715"/>
      <w:bookmarkEnd w:id="716"/>
      <w:bookmarkEnd w:id="717"/>
      <w:bookmarkEnd w:id="718"/>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highlight w:val="none"/>
        </w:rPr>
      </w:pPr>
      <w:r>
        <w:rPr>
          <w:rFonts w:hint="eastAsia"/>
          <w:color w:val="auto"/>
          <w:highlight w:val="none"/>
        </w:rPr>
        <w:t>4</w:t>
      </w:r>
      <w:r>
        <w:rPr>
          <w:rFonts w:hint="eastAsia" w:ascii="宋体" w:hAnsi="宋体"/>
          <w:color w:val="auto"/>
          <w:highlight w:val="none"/>
        </w:rPr>
        <w:t>.</w:t>
      </w:r>
      <w:r>
        <w:rPr>
          <w:rFonts w:hint="eastAsia"/>
          <w:color w:val="auto"/>
          <w:highlight w:val="none"/>
        </w:rPr>
        <w:t>2</w:t>
      </w:r>
      <w:r>
        <w:rPr>
          <w:rFonts w:hint="eastAsia" w:ascii="宋体" w:hAnsi="宋体"/>
          <w:color w:val="auto"/>
          <w:highlight w:val="none"/>
        </w:rPr>
        <w:t>.</w:t>
      </w:r>
      <w:r>
        <w:rPr>
          <w:rFonts w:hint="eastAsia"/>
          <w:color w:val="auto"/>
          <w:highlight w:val="none"/>
        </w:rPr>
        <w:t>1</w:t>
      </w:r>
      <w:r>
        <w:rPr>
          <w:rFonts w:hint="eastAsia" w:ascii="宋体" w:hAnsi="宋体"/>
          <w:color w:val="auto"/>
          <w:highlight w:val="none"/>
        </w:rPr>
        <w:t xml:space="preserve"> 投标人递交投标文件的截止时间（投标截止时间）：见投标人须知前附表。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highlight w:val="none"/>
        </w:rPr>
      </w:pPr>
      <w:r>
        <w:rPr>
          <w:color w:val="auto"/>
          <w:highlight w:val="none"/>
        </w:rPr>
        <w:t>4</w:t>
      </w:r>
      <w:r>
        <w:rPr>
          <w:rFonts w:ascii="宋体" w:hAnsi="宋体"/>
          <w:color w:val="auto"/>
          <w:highlight w:val="none"/>
        </w:rPr>
        <w:t>.</w:t>
      </w:r>
      <w:r>
        <w:rPr>
          <w:rFonts w:hint="eastAsia"/>
          <w:color w:val="auto"/>
          <w:highlight w:val="none"/>
        </w:rPr>
        <w:t>2</w:t>
      </w:r>
      <w:r>
        <w:rPr>
          <w:rFonts w:ascii="宋体" w:hAnsi="宋体"/>
          <w:color w:val="auto"/>
          <w:highlight w:val="none"/>
        </w:rPr>
        <w:t>.</w:t>
      </w:r>
      <w:r>
        <w:rPr>
          <w:rFonts w:hint="eastAsia"/>
          <w:color w:val="auto"/>
          <w:highlight w:val="none"/>
        </w:rPr>
        <w:t>2</w:t>
      </w:r>
      <w:r>
        <w:rPr>
          <w:rFonts w:hint="eastAsia" w:ascii="宋体" w:hAnsi="宋体"/>
          <w:color w:val="auto"/>
          <w:highlight w:val="none"/>
        </w:rPr>
        <w:t xml:space="preserve"> 投标人应当在投标截止时间前，</w:t>
      </w:r>
      <w:r>
        <w:rPr>
          <w:rFonts w:ascii="宋体" w:hAnsi="宋体"/>
          <w:color w:val="auto"/>
          <w:highlight w:val="none"/>
        </w:rPr>
        <w:t>通过</w:t>
      </w:r>
      <w:r>
        <w:rPr>
          <w:rFonts w:hint="eastAsia" w:ascii="宋体" w:hAnsi="宋体"/>
          <w:color w:val="auto"/>
          <w:highlight w:val="none"/>
        </w:rPr>
        <w:t>互联网</w:t>
      </w:r>
      <w:r>
        <w:rPr>
          <w:rFonts w:ascii="宋体" w:hAnsi="宋体"/>
          <w:color w:val="auto"/>
          <w:highlight w:val="none"/>
        </w:rPr>
        <w:t>使用</w:t>
      </w:r>
      <w:r>
        <w:rPr>
          <w:rFonts w:hint="eastAsia" w:ascii="宋体" w:hAnsi="宋体"/>
          <w:color w:val="auto"/>
          <w:highlight w:val="none"/>
        </w:rPr>
        <w:t>CA数字证书登录“电子交易平台”，选择所投标段将</w:t>
      </w:r>
      <w:r>
        <w:rPr>
          <w:rFonts w:hint="eastAsia" w:ascii="宋体" w:hAnsi="宋体"/>
          <w:b/>
          <w:color w:val="auto"/>
          <w:highlight w:val="none"/>
        </w:rPr>
        <w:t>加密的电子投标文件</w:t>
      </w:r>
      <w:r>
        <w:rPr>
          <w:rFonts w:hint="eastAsia" w:ascii="宋体" w:hAnsi="宋体"/>
          <w:color w:val="auto"/>
          <w:highlight w:val="none"/>
        </w:rPr>
        <w:t>上传。投标人完成投标文件上传后，“</w:t>
      </w:r>
      <w:r>
        <w:rPr>
          <w:rFonts w:ascii="宋体" w:hAnsi="宋体"/>
          <w:color w:val="auto"/>
          <w:highlight w:val="none"/>
        </w:rPr>
        <w:t>电子</w:t>
      </w:r>
      <w:r>
        <w:rPr>
          <w:rFonts w:hint="eastAsia" w:ascii="宋体" w:hAnsi="宋体"/>
          <w:color w:val="auto"/>
          <w:highlight w:val="none"/>
        </w:rPr>
        <w:t>交易平台”即时向投标人发出</w:t>
      </w:r>
      <w:r>
        <w:rPr>
          <w:rFonts w:ascii="宋体" w:hAnsi="宋体"/>
          <w:color w:val="auto"/>
          <w:highlight w:val="none"/>
        </w:rPr>
        <w:t>电子签收凭证</w:t>
      </w:r>
      <w:r>
        <w:rPr>
          <w:rFonts w:hint="eastAsia" w:ascii="宋体" w:hAnsi="宋体"/>
          <w:color w:val="auto"/>
          <w:highlight w:val="none"/>
        </w:rPr>
        <w:t>，递交时间以</w:t>
      </w:r>
      <w:r>
        <w:rPr>
          <w:rFonts w:ascii="宋体" w:hAnsi="宋体"/>
          <w:color w:val="auto"/>
          <w:highlight w:val="none"/>
        </w:rPr>
        <w:t>电子签收凭证</w:t>
      </w:r>
      <w:r>
        <w:rPr>
          <w:rFonts w:hint="eastAsia" w:ascii="宋体" w:hAnsi="宋体"/>
          <w:color w:val="auto"/>
          <w:highlight w:val="none"/>
        </w:rPr>
        <w:t>载明的传输完成时间为准。投标人应充分考虑上传文件时的不可预见因素，投标文件</w:t>
      </w:r>
      <w:r>
        <w:rPr>
          <w:rFonts w:ascii="宋体" w:hAnsi="宋体"/>
          <w:color w:val="auto"/>
          <w:highlight w:val="none"/>
        </w:rPr>
        <w:t>未在投标截止时间前完成上传</w:t>
      </w:r>
      <w:r>
        <w:rPr>
          <w:rFonts w:hint="eastAsia" w:ascii="宋体" w:hAnsi="宋体"/>
          <w:color w:val="auto"/>
          <w:highlight w:val="none"/>
        </w:rPr>
        <w:t>的，</w:t>
      </w:r>
      <w:r>
        <w:rPr>
          <w:rFonts w:ascii="宋体" w:hAnsi="宋体"/>
          <w:color w:val="auto"/>
          <w:highlight w:val="none"/>
        </w:rPr>
        <w:t>视为逾期送达</w:t>
      </w:r>
      <w:r>
        <w:rPr>
          <w:rFonts w:hint="eastAsia" w:ascii="宋体" w:hAnsi="宋体"/>
          <w:color w:val="auto"/>
          <w:highlight w:val="none"/>
        </w:rPr>
        <w:t>，招标人（“</w:t>
      </w:r>
      <w:r>
        <w:rPr>
          <w:rFonts w:ascii="宋体" w:hAnsi="宋体"/>
          <w:color w:val="auto"/>
          <w:highlight w:val="none"/>
        </w:rPr>
        <w:t>电子</w:t>
      </w:r>
      <w:r>
        <w:rPr>
          <w:rFonts w:hint="eastAsia" w:ascii="宋体" w:hAnsi="宋体"/>
          <w:color w:val="auto"/>
          <w:highlight w:val="none"/>
        </w:rPr>
        <w:t>交易平台”）</w:t>
      </w:r>
      <w:r>
        <w:rPr>
          <w:rFonts w:ascii="宋体" w:hAnsi="宋体"/>
          <w:color w:val="auto"/>
          <w:highlight w:val="none"/>
        </w:rPr>
        <w:t>将拒收。</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highlight w:val="none"/>
        </w:rPr>
      </w:pPr>
      <w:r>
        <w:rPr>
          <w:rFonts w:hint="eastAsia"/>
          <w:color w:val="auto"/>
          <w:highlight w:val="none"/>
        </w:rPr>
        <w:t>4</w:t>
      </w:r>
      <w:r>
        <w:rPr>
          <w:rFonts w:hint="eastAsia" w:ascii="宋体" w:hAnsi="宋体"/>
          <w:color w:val="auto"/>
          <w:highlight w:val="none"/>
        </w:rPr>
        <w:t>.</w:t>
      </w:r>
      <w:r>
        <w:rPr>
          <w:rFonts w:hint="eastAsia"/>
          <w:color w:val="auto"/>
          <w:highlight w:val="none"/>
        </w:rPr>
        <w:t>2</w:t>
      </w:r>
      <w:r>
        <w:rPr>
          <w:rFonts w:hint="eastAsia" w:ascii="宋体" w:hAnsi="宋体"/>
          <w:color w:val="auto"/>
          <w:highlight w:val="none"/>
        </w:rPr>
        <w:t>.</w:t>
      </w:r>
      <w:r>
        <w:rPr>
          <w:rFonts w:hint="eastAsia"/>
          <w:color w:val="auto"/>
          <w:highlight w:val="none"/>
        </w:rPr>
        <w:t>3</w:t>
      </w:r>
      <w:r>
        <w:rPr>
          <w:rFonts w:hint="eastAsia" w:ascii="宋体" w:hAnsi="宋体"/>
          <w:color w:val="auto"/>
          <w:highlight w:val="none"/>
        </w:rPr>
        <w:t xml:space="preserve"> 除投标人须知前附表另有规定外，投标人所递交的投标文件不予退还。</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719" w:name="_Toc24654"/>
      <w:bookmarkStart w:id="720" w:name="_Toc8403"/>
      <w:bookmarkStart w:id="721" w:name="_Toc26688"/>
      <w:bookmarkStart w:id="722" w:name="_Toc1817959738"/>
      <w:bookmarkStart w:id="723" w:name="_Toc22139"/>
      <w:bookmarkStart w:id="724" w:name="_Toc10760"/>
      <w:bookmarkStart w:id="725" w:name="_Toc515570324"/>
      <w:bookmarkStart w:id="726" w:name="_Toc928191965"/>
      <w:bookmarkStart w:id="727" w:name="_Toc449"/>
      <w:r>
        <w:rPr>
          <w:rFonts w:hint="eastAsia"/>
          <w:color w:val="auto"/>
          <w:sz w:val="24"/>
          <w:szCs w:val="24"/>
          <w:highlight w:val="none"/>
        </w:rPr>
        <w:t>4.3 投标文件的修改与撤回</w:t>
      </w:r>
      <w:bookmarkEnd w:id="719"/>
      <w:bookmarkEnd w:id="720"/>
      <w:bookmarkEnd w:id="721"/>
      <w:bookmarkEnd w:id="722"/>
      <w:bookmarkEnd w:id="723"/>
      <w:bookmarkEnd w:id="724"/>
      <w:bookmarkEnd w:id="725"/>
      <w:bookmarkEnd w:id="726"/>
      <w:bookmarkEnd w:id="727"/>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highlight w:val="none"/>
        </w:rPr>
      </w:pPr>
      <w:r>
        <w:rPr>
          <w:color w:val="auto"/>
          <w:highlight w:val="none"/>
        </w:rPr>
        <w:t>4</w:t>
      </w:r>
      <w:r>
        <w:rPr>
          <w:rFonts w:ascii="宋体" w:hAnsi="宋体"/>
          <w:color w:val="auto"/>
          <w:highlight w:val="none"/>
        </w:rPr>
        <w:t>.</w:t>
      </w:r>
      <w:r>
        <w:rPr>
          <w:color w:val="auto"/>
          <w:highlight w:val="none"/>
        </w:rPr>
        <w:t>3</w:t>
      </w:r>
      <w:r>
        <w:rPr>
          <w:rFonts w:ascii="宋体" w:hAnsi="宋体"/>
          <w:color w:val="auto"/>
          <w:highlight w:val="none"/>
        </w:rPr>
        <w:t>.</w:t>
      </w:r>
      <w:r>
        <w:rPr>
          <w:color w:val="auto"/>
          <w:highlight w:val="none"/>
        </w:rPr>
        <w:t>1</w:t>
      </w:r>
      <w:r>
        <w:rPr>
          <w:rFonts w:hint="eastAsia" w:ascii="宋体" w:hAnsi="宋体"/>
          <w:color w:val="auto"/>
          <w:highlight w:val="none"/>
        </w:rPr>
        <w:t xml:space="preserve"> 在本章第</w:t>
      </w:r>
      <w:r>
        <w:rPr>
          <w:rFonts w:hint="eastAsia"/>
          <w:color w:val="auto"/>
          <w:highlight w:val="none"/>
        </w:rPr>
        <w:t>4</w:t>
      </w:r>
      <w:r>
        <w:rPr>
          <w:rFonts w:hint="eastAsia" w:ascii="宋体" w:hAnsi="宋体"/>
          <w:color w:val="auto"/>
          <w:highlight w:val="none"/>
        </w:rPr>
        <w:t>.</w:t>
      </w:r>
      <w:r>
        <w:rPr>
          <w:rFonts w:hint="eastAsia"/>
          <w:color w:val="auto"/>
          <w:highlight w:val="none"/>
        </w:rPr>
        <w:t>2</w:t>
      </w:r>
      <w:r>
        <w:rPr>
          <w:rFonts w:hint="eastAsia" w:ascii="宋体" w:hAnsi="宋体"/>
          <w:color w:val="auto"/>
          <w:highlight w:val="none"/>
        </w:rPr>
        <w:t>.</w:t>
      </w:r>
      <w:r>
        <w:rPr>
          <w:rFonts w:hint="eastAsia"/>
          <w:color w:val="auto"/>
          <w:highlight w:val="none"/>
        </w:rPr>
        <w:t>1</w:t>
      </w:r>
      <w:r>
        <w:rPr>
          <w:rFonts w:hint="eastAsia" w:ascii="宋体" w:hAnsi="宋体"/>
          <w:color w:val="auto"/>
          <w:highlight w:val="none"/>
        </w:rPr>
        <w:t>项规定的投标截止时间前，投标人可以修改或撤回已递交的投标文件。</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highlight w:val="none"/>
        </w:rPr>
      </w:pPr>
      <w:r>
        <w:rPr>
          <w:rFonts w:hint="eastAsia"/>
          <w:color w:val="auto"/>
          <w:highlight w:val="none"/>
        </w:rPr>
        <w:t>4</w:t>
      </w:r>
      <w:r>
        <w:rPr>
          <w:rFonts w:hint="eastAsia" w:ascii="宋体" w:hAnsi="宋体"/>
          <w:color w:val="auto"/>
          <w:highlight w:val="none"/>
        </w:rPr>
        <w:t>.</w:t>
      </w:r>
      <w:r>
        <w:rPr>
          <w:rFonts w:hint="eastAsia"/>
          <w:color w:val="auto"/>
          <w:highlight w:val="none"/>
        </w:rPr>
        <w:t>3</w:t>
      </w:r>
      <w:r>
        <w:rPr>
          <w:rFonts w:hint="eastAsia" w:ascii="宋体" w:hAnsi="宋体"/>
          <w:color w:val="auto"/>
          <w:highlight w:val="none"/>
        </w:rPr>
        <w:t>.</w:t>
      </w:r>
      <w:r>
        <w:rPr>
          <w:rFonts w:hint="eastAsia"/>
          <w:color w:val="auto"/>
          <w:highlight w:val="none"/>
        </w:rPr>
        <w:t>2</w:t>
      </w:r>
      <w:r>
        <w:rPr>
          <w:rFonts w:hint="eastAsia" w:ascii="宋体" w:hAnsi="宋体"/>
          <w:color w:val="auto"/>
          <w:highlight w:val="none"/>
        </w:rPr>
        <w:t xml:space="preserve"> 投标人撤回投标文件的，在“电子交易平台”直接进行撤回操作</w:t>
      </w:r>
      <w:r>
        <w:rPr>
          <w:rFonts w:ascii="宋体" w:hAnsi="宋体"/>
          <w:color w:val="auto"/>
          <w:highlight w:val="none"/>
        </w:rPr>
        <w:t>。</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highlight w:val="none"/>
        </w:rPr>
      </w:pPr>
      <w:r>
        <w:rPr>
          <w:rFonts w:hint="eastAsia"/>
          <w:color w:val="auto"/>
          <w:highlight w:val="none"/>
        </w:rPr>
        <w:t>4</w:t>
      </w:r>
      <w:r>
        <w:rPr>
          <w:rFonts w:hint="eastAsia" w:ascii="宋体" w:hAnsi="宋体"/>
          <w:color w:val="auto"/>
          <w:highlight w:val="none"/>
        </w:rPr>
        <w:t>.</w:t>
      </w:r>
      <w:r>
        <w:rPr>
          <w:rFonts w:hint="eastAsia"/>
          <w:color w:val="auto"/>
          <w:highlight w:val="none"/>
        </w:rPr>
        <w:t>3</w:t>
      </w:r>
      <w:r>
        <w:rPr>
          <w:rFonts w:hint="eastAsia" w:ascii="宋体" w:hAnsi="宋体"/>
          <w:color w:val="auto"/>
          <w:highlight w:val="none"/>
        </w:rPr>
        <w:t>.</w:t>
      </w:r>
      <w:r>
        <w:rPr>
          <w:rFonts w:hint="eastAsia"/>
          <w:color w:val="auto"/>
          <w:highlight w:val="none"/>
        </w:rPr>
        <w:t>3</w:t>
      </w:r>
      <w:r>
        <w:rPr>
          <w:rFonts w:hint="eastAsia" w:ascii="宋体" w:hAnsi="宋体"/>
          <w:color w:val="auto"/>
          <w:highlight w:val="none"/>
        </w:rPr>
        <w:t xml:space="preserve"> 投标人修改投标文件的，</w:t>
      </w:r>
      <w:r>
        <w:rPr>
          <w:rFonts w:ascii="宋体" w:hAnsi="宋体"/>
          <w:color w:val="auto"/>
          <w:highlight w:val="none"/>
        </w:rPr>
        <w:t>应当</w:t>
      </w:r>
      <w:r>
        <w:rPr>
          <w:rFonts w:hint="eastAsia" w:ascii="宋体" w:hAnsi="宋体"/>
          <w:color w:val="auto"/>
          <w:highlight w:val="none"/>
        </w:rPr>
        <w:t>先按本章第</w:t>
      </w:r>
      <w:r>
        <w:rPr>
          <w:color w:val="auto"/>
          <w:highlight w:val="none"/>
        </w:rPr>
        <w:t>4</w:t>
      </w:r>
      <w:r>
        <w:rPr>
          <w:rFonts w:ascii="宋体" w:hAnsi="宋体"/>
          <w:color w:val="auto"/>
          <w:highlight w:val="none"/>
        </w:rPr>
        <w:t>.</w:t>
      </w:r>
      <w:r>
        <w:rPr>
          <w:color w:val="auto"/>
          <w:highlight w:val="none"/>
        </w:rPr>
        <w:t>3</w:t>
      </w:r>
      <w:r>
        <w:rPr>
          <w:rFonts w:ascii="宋体" w:hAnsi="宋体"/>
          <w:color w:val="auto"/>
          <w:highlight w:val="none"/>
        </w:rPr>
        <w:t>.</w:t>
      </w:r>
      <w:r>
        <w:rPr>
          <w:color w:val="auto"/>
          <w:highlight w:val="none"/>
        </w:rPr>
        <w:t>2</w:t>
      </w:r>
      <w:r>
        <w:rPr>
          <w:rFonts w:hint="eastAsia" w:ascii="宋体" w:hAnsi="宋体"/>
          <w:color w:val="auto"/>
          <w:highlight w:val="none"/>
        </w:rPr>
        <w:t>项的规定撤回投标文件，再</w:t>
      </w:r>
      <w:r>
        <w:rPr>
          <w:rFonts w:ascii="宋体" w:hAnsi="宋体"/>
          <w:color w:val="auto"/>
          <w:highlight w:val="none"/>
        </w:rPr>
        <w:t>使用</w:t>
      </w:r>
      <w:r>
        <w:rPr>
          <w:rFonts w:hint="eastAsia" w:ascii="宋体" w:hAnsi="宋体"/>
          <w:color w:val="auto"/>
          <w:highlight w:val="none"/>
        </w:rPr>
        <w:t>“电子</w:t>
      </w:r>
      <w:r>
        <w:rPr>
          <w:rFonts w:ascii="宋体" w:hAnsi="宋体"/>
          <w:color w:val="auto"/>
          <w:highlight w:val="none"/>
        </w:rPr>
        <w:t>投标文件制作软件”制作成完整的投标文件</w:t>
      </w:r>
      <w:r>
        <w:rPr>
          <w:rFonts w:hint="eastAsia" w:ascii="宋体" w:hAnsi="宋体"/>
          <w:color w:val="auto"/>
          <w:highlight w:val="none"/>
        </w:rPr>
        <w:t>，并按照本章第</w:t>
      </w:r>
      <w:r>
        <w:rPr>
          <w:rFonts w:hint="eastAsia"/>
          <w:color w:val="auto"/>
          <w:highlight w:val="none"/>
        </w:rPr>
        <w:t>3</w:t>
      </w:r>
      <w:r>
        <w:rPr>
          <w:rFonts w:hint="eastAsia" w:ascii="宋体" w:hAnsi="宋体"/>
          <w:color w:val="auto"/>
          <w:highlight w:val="none"/>
        </w:rPr>
        <w:t>条、第</w:t>
      </w:r>
      <w:r>
        <w:rPr>
          <w:rFonts w:hint="eastAsia"/>
          <w:color w:val="auto"/>
          <w:highlight w:val="none"/>
        </w:rPr>
        <w:t>4</w:t>
      </w:r>
      <w:r>
        <w:rPr>
          <w:rFonts w:hint="eastAsia" w:ascii="宋体" w:hAnsi="宋体"/>
          <w:color w:val="auto"/>
          <w:highlight w:val="none"/>
        </w:rPr>
        <w:t>条规定进行编制和递交。</w:t>
      </w:r>
    </w:p>
    <w:p>
      <w:pPr>
        <w:pStyle w:val="20"/>
        <w:spacing w:before="120" w:afterLines="50"/>
        <w:outlineLvl w:val="2"/>
        <w:rPr>
          <w:rFonts w:hint="eastAsia"/>
          <w:color w:val="auto"/>
          <w:highlight w:val="none"/>
        </w:rPr>
      </w:pPr>
      <w:bookmarkStart w:id="728" w:name="_Toc222032654"/>
      <w:bookmarkStart w:id="729" w:name="_Toc7210"/>
      <w:bookmarkStart w:id="730" w:name="_Toc168476077"/>
      <w:bookmarkStart w:id="731" w:name="_Toc222030987"/>
      <w:bookmarkStart w:id="732" w:name="_Toc221950189"/>
      <w:bookmarkStart w:id="733" w:name="_Toc168475674"/>
      <w:bookmarkStart w:id="734" w:name="_Toc222029485"/>
      <w:bookmarkStart w:id="735" w:name="_Toc685828188"/>
      <w:bookmarkStart w:id="736" w:name="_Toc229305345"/>
      <w:bookmarkStart w:id="737" w:name="_Toc222033836"/>
      <w:bookmarkStart w:id="738" w:name="_Toc26097"/>
      <w:bookmarkStart w:id="739" w:name="_Toc23158"/>
      <w:bookmarkStart w:id="740" w:name="_Toc1617937419"/>
      <w:bookmarkStart w:id="741" w:name="_Toc13308"/>
      <w:bookmarkStart w:id="742" w:name="_Toc387753556"/>
      <w:bookmarkStart w:id="743" w:name="_Toc31593"/>
      <w:bookmarkStart w:id="744" w:name="_Toc15570"/>
      <w:bookmarkStart w:id="745" w:name="_Toc144974527"/>
      <w:r>
        <w:rPr>
          <w:rFonts w:hint="eastAsia"/>
          <w:color w:val="auto"/>
          <w:highlight w:val="none"/>
        </w:rPr>
        <w:t>5. 开标</w:t>
      </w:r>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746" w:name="_Toc8272"/>
      <w:bookmarkStart w:id="747" w:name="_Toc507740480"/>
      <w:bookmarkStart w:id="748" w:name="_Toc179632578"/>
      <w:bookmarkStart w:id="749" w:name="_Toc152045560"/>
      <w:bookmarkStart w:id="750" w:name="_Toc15242"/>
      <w:bookmarkStart w:id="751" w:name="_Toc144974528"/>
      <w:bookmarkStart w:id="752" w:name="_Toc26369"/>
      <w:bookmarkStart w:id="753" w:name="_Toc152042336"/>
      <w:bookmarkStart w:id="754" w:name="_Toc1583529580"/>
      <w:bookmarkStart w:id="755" w:name="_Toc4325"/>
      <w:bookmarkStart w:id="756" w:name="_Toc22407"/>
      <w:bookmarkStart w:id="757" w:name="_Toc14851"/>
      <w:bookmarkStart w:id="758" w:name="_Toc515570326"/>
      <w:bookmarkStart w:id="759" w:name="_Toc221950196"/>
      <w:r>
        <w:rPr>
          <w:rFonts w:hint="eastAsia"/>
          <w:color w:val="auto"/>
          <w:sz w:val="24"/>
          <w:szCs w:val="24"/>
          <w:highlight w:val="none"/>
        </w:rPr>
        <w:t>5.1 开标时间和地点</w:t>
      </w:r>
      <w:bookmarkEnd w:id="746"/>
      <w:bookmarkEnd w:id="747"/>
      <w:bookmarkEnd w:id="748"/>
      <w:bookmarkEnd w:id="749"/>
      <w:bookmarkEnd w:id="750"/>
      <w:bookmarkEnd w:id="751"/>
      <w:bookmarkEnd w:id="752"/>
      <w:bookmarkEnd w:id="753"/>
      <w:bookmarkEnd w:id="754"/>
      <w:bookmarkEnd w:id="755"/>
      <w:bookmarkEnd w:id="756"/>
      <w:bookmarkEnd w:id="757"/>
      <w:bookmarkEnd w:id="758"/>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5.1.1 招标人在本章第4.2.1项规定的投标截止时间（开标时间）</w:t>
      </w:r>
      <w:r>
        <w:rPr>
          <w:rFonts w:hint="eastAsia"/>
          <w:bCs/>
          <w:iCs/>
          <w:color w:val="auto"/>
          <w:highlight w:val="none"/>
        </w:rPr>
        <w:t>在</w:t>
      </w:r>
      <w:r>
        <w:rPr>
          <w:rFonts w:hint="eastAsia"/>
          <w:color w:val="auto"/>
          <w:highlight w:val="none"/>
        </w:rPr>
        <w:t>“电子交易平台”</w:t>
      </w:r>
      <w:r>
        <w:rPr>
          <w:rFonts w:hint="eastAsia"/>
          <w:bCs/>
          <w:iCs/>
          <w:color w:val="auto"/>
          <w:highlight w:val="none"/>
        </w:rPr>
        <w:t>上</w:t>
      </w:r>
      <w:r>
        <w:rPr>
          <w:rFonts w:hint="eastAsia"/>
          <w:color w:val="auto"/>
          <w:highlight w:val="none"/>
        </w:rPr>
        <w:t>公开进行开标，</w:t>
      </w:r>
      <w:r>
        <w:rPr>
          <w:rFonts w:hint="eastAsia"/>
          <w:bCs/>
          <w:iCs/>
          <w:color w:val="auto"/>
          <w:highlight w:val="none"/>
        </w:rPr>
        <w:t>所有投标人均</w:t>
      </w:r>
      <w:r>
        <w:rPr>
          <w:rFonts w:hint="eastAsia"/>
          <w:b/>
          <w:bCs/>
          <w:iCs/>
          <w:color w:val="auto"/>
          <w:highlight w:val="none"/>
        </w:rPr>
        <w:t>应当准时在线参加开标</w:t>
      </w:r>
      <w:r>
        <w:rPr>
          <w:rFonts w:hint="eastAsia"/>
          <w:color w:val="auto"/>
          <w:highlight w:val="none"/>
        </w:rPr>
        <w:t>。</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5.1.2招标人通过互联网在投标人须知前附表规定的地点组织开标，并在投标人须知前附表5.2.1（6）规定的时间内，</w:t>
      </w:r>
      <w:r>
        <w:rPr>
          <w:color w:val="auto"/>
          <w:highlight w:val="none"/>
        </w:rPr>
        <w:t>使用</w:t>
      </w:r>
      <w:r>
        <w:rPr>
          <w:rFonts w:hint="eastAsia"/>
          <w:color w:val="auto"/>
          <w:highlight w:val="none"/>
        </w:rPr>
        <w:t>CA数字证书登录“电子交易平台”，进入“开标大厅”选择相应标段作在线开标的准备工作。</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5.1.3 投标人应当在能够保证设施设备可靠、互联网畅通的</w:t>
      </w:r>
      <w:r>
        <w:rPr>
          <w:rFonts w:hint="eastAsia"/>
          <w:b/>
          <w:color w:val="auto"/>
          <w:highlight w:val="none"/>
        </w:rPr>
        <w:t>任意地点</w:t>
      </w:r>
      <w:r>
        <w:rPr>
          <w:rFonts w:hint="eastAsia"/>
          <w:color w:val="auto"/>
          <w:highlight w:val="none"/>
        </w:rPr>
        <w:t>，通过互联网在线参加开标</w:t>
      </w:r>
      <w:r>
        <w:rPr>
          <w:rFonts w:hint="eastAsia"/>
          <w:color w:val="auto"/>
          <w:szCs w:val="21"/>
          <w:highlight w:val="none"/>
        </w:rPr>
        <w:t>。在</w:t>
      </w:r>
      <w:r>
        <w:rPr>
          <w:rFonts w:hint="eastAsia"/>
          <w:color w:val="auto"/>
          <w:highlight w:val="none"/>
        </w:rPr>
        <w:t>投标截止时间前，</w:t>
      </w:r>
      <w:r>
        <w:rPr>
          <w:b/>
          <w:color w:val="auto"/>
          <w:highlight w:val="none"/>
        </w:rPr>
        <w:t>使用</w:t>
      </w:r>
      <w:r>
        <w:rPr>
          <w:rFonts w:hint="eastAsia"/>
          <w:b/>
          <w:color w:val="auto"/>
          <w:highlight w:val="none"/>
        </w:rPr>
        <w:t>加密该投标文件的CA数字证书</w:t>
      </w:r>
      <w:r>
        <w:rPr>
          <w:rFonts w:hint="eastAsia"/>
          <w:color w:val="auto"/>
          <w:highlight w:val="none"/>
        </w:rPr>
        <w:t>登录“电子交易平台”，进入“开标大厅”选择所投标段进行签到，并实时在线关注招标人的操作情况。</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760" w:name="_Toc1571287349"/>
      <w:bookmarkStart w:id="761" w:name="_Toc29395"/>
      <w:bookmarkStart w:id="762" w:name="_Toc8059"/>
      <w:bookmarkStart w:id="763" w:name="_Toc24473"/>
      <w:bookmarkStart w:id="764" w:name="_Toc144974529"/>
      <w:bookmarkStart w:id="765" w:name="_Toc8565"/>
      <w:bookmarkStart w:id="766" w:name="_Toc152045561"/>
      <w:bookmarkStart w:id="767" w:name="_Toc152042337"/>
      <w:bookmarkStart w:id="768" w:name="_Toc179632579"/>
      <w:bookmarkStart w:id="769" w:name="_Toc22488"/>
      <w:bookmarkStart w:id="770" w:name="_Toc515570327"/>
      <w:bookmarkStart w:id="771" w:name="_Toc460162817"/>
      <w:bookmarkStart w:id="772" w:name="_Toc9539"/>
      <w:r>
        <w:rPr>
          <w:rFonts w:hint="eastAsia"/>
          <w:color w:val="auto"/>
          <w:sz w:val="24"/>
          <w:szCs w:val="24"/>
          <w:highlight w:val="none"/>
        </w:rPr>
        <w:t>5.2 开标程序</w:t>
      </w:r>
      <w:bookmarkEnd w:id="760"/>
      <w:bookmarkEnd w:id="761"/>
      <w:bookmarkEnd w:id="762"/>
      <w:bookmarkEnd w:id="763"/>
      <w:bookmarkEnd w:id="764"/>
      <w:bookmarkEnd w:id="765"/>
      <w:bookmarkEnd w:id="766"/>
      <w:bookmarkEnd w:id="767"/>
      <w:bookmarkEnd w:id="768"/>
      <w:bookmarkEnd w:id="769"/>
      <w:bookmarkEnd w:id="770"/>
      <w:bookmarkEnd w:id="771"/>
      <w:bookmarkEnd w:id="772"/>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5.2.1 主持人按下列程序在“电子交易平台”的“开标大厅”进行在线开标：</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（1）宣布开标纪律；</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（2）公布</w:t>
      </w:r>
      <w:r>
        <w:rPr>
          <w:rFonts w:hint="eastAsia"/>
          <w:color w:val="auto"/>
          <w:highlight w:val="none"/>
        </w:rPr>
        <w:t>主持人、招标人代表、监标人</w:t>
      </w:r>
      <w:r>
        <w:rPr>
          <w:color w:val="auto"/>
          <w:highlight w:val="none"/>
        </w:rPr>
        <w:t>等有关人员</w:t>
      </w:r>
      <w:r>
        <w:rPr>
          <w:rFonts w:hint="eastAsia"/>
          <w:color w:val="auto"/>
          <w:highlight w:val="none"/>
        </w:rPr>
        <w:t>姓</w:t>
      </w:r>
      <w:r>
        <w:rPr>
          <w:color w:val="auto"/>
          <w:highlight w:val="none"/>
        </w:rPr>
        <w:t xml:space="preserve">名； </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w:t>
      </w:r>
      <w:r>
        <w:rPr>
          <w:rFonts w:hint="eastAsia"/>
          <w:color w:val="auto"/>
          <w:highlight w:val="none"/>
        </w:rPr>
        <w:t>3</w:t>
      </w:r>
      <w:r>
        <w:rPr>
          <w:color w:val="auto"/>
          <w:highlight w:val="none"/>
        </w:rPr>
        <w:t>）</w:t>
      </w:r>
      <w:r>
        <w:rPr>
          <w:rFonts w:hint="eastAsia"/>
          <w:color w:val="auto"/>
          <w:highlight w:val="none"/>
        </w:rPr>
        <w:t>公布在投标截止时间前投标文件的递交情况；</w:t>
      </w:r>
    </w:p>
    <w:p>
      <w:pPr>
        <w:pageBreakBefore w:val="0"/>
        <w:widowControl w:val="0"/>
        <w:kinsoku/>
        <w:wordWrap/>
        <w:overflowPunct/>
        <w:topLinePunct w:val="0"/>
        <w:bidi w:val="0"/>
        <w:snapToGrid/>
        <w:spacing w:line="360" w:lineRule="auto"/>
        <w:ind w:firstLine="420" w:firstLineChars="200"/>
        <w:textAlignment w:val="auto"/>
        <w:outlineLvl w:val="9"/>
        <w:rPr>
          <w:color w:val="auto"/>
          <w:szCs w:val="21"/>
          <w:highlight w:val="none"/>
        </w:rPr>
      </w:pPr>
      <w:r>
        <w:rPr>
          <w:color w:val="auto"/>
          <w:highlight w:val="none"/>
        </w:rPr>
        <w:t>（</w:t>
      </w:r>
      <w:r>
        <w:rPr>
          <w:rFonts w:hint="eastAsia"/>
          <w:color w:val="auto"/>
          <w:highlight w:val="none"/>
        </w:rPr>
        <w:t>4</w:t>
      </w:r>
      <w:r>
        <w:rPr>
          <w:color w:val="auto"/>
          <w:highlight w:val="none"/>
        </w:rPr>
        <w:t>）</w:t>
      </w:r>
      <w:r>
        <w:rPr>
          <w:rFonts w:hint="eastAsia"/>
          <w:color w:val="auto"/>
          <w:szCs w:val="21"/>
          <w:highlight w:val="none"/>
        </w:rPr>
        <w:t>公布投标保证金递交情况；</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（5）需抽取</w:t>
      </w:r>
      <w:r>
        <w:rPr>
          <w:rFonts w:hint="eastAsia"/>
          <w:color w:val="auto"/>
          <w:highlight w:val="none"/>
          <w:lang w:val="en-US" w:eastAsia="zh-CN"/>
        </w:rPr>
        <w:t>评标基准价下浮率</w:t>
      </w:r>
      <w:r>
        <w:rPr>
          <w:rFonts w:hint="eastAsia"/>
          <w:color w:val="auto"/>
          <w:highlight w:val="none"/>
        </w:rPr>
        <w:t>的，由招标人</w:t>
      </w:r>
      <w:r>
        <w:rPr>
          <w:color w:val="auto"/>
          <w:highlight w:val="none"/>
        </w:rPr>
        <w:t>代表</w:t>
      </w:r>
      <w:r>
        <w:rPr>
          <w:rFonts w:hint="eastAsia"/>
          <w:color w:val="auto"/>
          <w:highlight w:val="none"/>
        </w:rPr>
        <w:t>在“开标大厅”按标段抽取评标基准价下浮率；</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w:t>
      </w:r>
      <w:r>
        <w:rPr>
          <w:rFonts w:hint="eastAsia"/>
          <w:color w:val="auto"/>
          <w:highlight w:val="none"/>
        </w:rPr>
        <w:t>6</w:t>
      </w:r>
      <w:r>
        <w:rPr>
          <w:color w:val="auto"/>
          <w:highlight w:val="none"/>
        </w:rPr>
        <w:t>）</w:t>
      </w:r>
      <w:r>
        <w:rPr>
          <w:color w:val="auto"/>
          <w:szCs w:val="21"/>
          <w:highlight w:val="none"/>
        </w:rPr>
        <w:t>投标人</w:t>
      </w:r>
      <w:r>
        <w:rPr>
          <w:rFonts w:hint="eastAsia"/>
          <w:color w:val="auto"/>
          <w:szCs w:val="21"/>
          <w:highlight w:val="none"/>
        </w:rPr>
        <w:t>根据提示</w:t>
      </w:r>
      <w:r>
        <w:rPr>
          <w:color w:val="auto"/>
          <w:szCs w:val="21"/>
          <w:highlight w:val="none"/>
        </w:rPr>
        <w:t>在</w:t>
      </w:r>
      <w:r>
        <w:rPr>
          <w:rFonts w:hint="eastAsia"/>
          <w:color w:val="auto"/>
          <w:szCs w:val="21"/>
          <w:highlight w:val="none"/>
        </w:rPr>
        <w:t>投标人须知前附表规定的时间内</w:t>
      </w:r>
      <w:r>
        <w:rPr>
          <w:color w:val="auto"/>
          <w:szCs w:val="21"/>
          <w:highlight w:val="none"/>
        </w:rPr>
        <w:t>解密投标文件</w:t>
      </w:r>
      <w:r>
        <w:rPr>
          <w:rFonts w:hint="eastAsia"/>
          <w:color w:val="auto"/>
          <w:szCs w:val="21"/>
          <w:highlight w:val="none"/>
        </w:rPr>
        <w:t>；</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（7）读取已解密</w:t>
      </w:r>
      <w:r>
        <w:rPr>
          <w:rFonts w:hint="eastAsia"/>
          <w:color w:val="auto"/>
          <w:szCs w:val="21"/>
          <w:highlight w:val="none"/>
        </w:rPr>
        <w:t>的投标文件的内容</w:t>
      </w:r>
      <w:r>
        <w:rPr>
          <w:rFonts w:hint="eastAsia"/>
          <w:color w:val="auto"/>
          <w:highlight w:val="none"/>
        </w:rPr>
        <w:t>；</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w:t>
      </w:r>
      <w:r>
        <w:rPr>
          <w:rFonts w:hint="eastAsia"/>
          <w:color w:val="auto"/>
          <w:highlight w:val="none"/>
        </w:rPr>
        <w:t>8</w:t>
      </w:r>
      <w:r>
        <w:rPr>
          <w:color w:val="auto"/>
          <w:highlight w:val="none"/>
        </w:rPr>
        <w:t>）</w:t>
      </w:r>
      <w:r>
        <w:rPr>
          <w:rFonts w:hint="eastAsia"/>
          <w:color w:val="auto"/>
          <w:highlight w:val="none"/>
        </w:rPr>
        <w:t>公布</w:t>
      </w:r>
      <w:r>
        <w:rPr>
          <w:color w:val="auto"/>
          <w:highlight w:val="none"/>
        </w:rPr>
        <w:t>投标人名称、</w:t>
      </w:r>
      <w:r>
        <w:rPr>
          <w:rFonts w:hint="eastAsia"/>
          <w:color w:val="auto"/>
          <w:highlight w:val="none"/>
        </w:rPr>
        <w:t>标段名称、投标保证金的递交情况、</w:t>
      </w:r>
      <w:r>
        <w:rPr>
          <w:color w:val="auto"/>
          <w:highlight w:val="none"/>
        </w:rPr>
        <w:t>投标报价</w:t>
      </w:r>
      <w:r>
        <w:rPr>
          <w:rFonts w:hint="eastAsia"/>
          <w:color w:val="auto"/>
          <w:highlight w:val="none"/>
        </w:rPr>
        <w:t>、项目负责人姓名及其他内容，并</w:t>
      </w:r>
      <w:r>
        <w:rPr>
          <w:rFonts w:hint="eastAsia"/>
          <w:bCs/>
          <w:iCs/>
          <w:color w:val="auto"/>
          <w:highlight w:val="none"/>
        </w:rPr>
        <w:t>生成开标记录</w:t>
      </w:r>
      <w:r>
        <w:rPr>
          <w:rFonts w:hint="eastAsia"/>
          <w:color w:val="auto"/>
          <w:highlight w:val="none"/>
        </w:rPr>
        <w:t>；</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w:t>
      </w:r>
      <w:r>
        <w:rPr>
          <w:rFonts w:hint="eastAsia"/>
          <w:color w:val="auto"/>
          <w:highlight w:val="none"/>
        </w:rPr>
        <w:t>9</w:t>
      </w:r>
      <w:r>
        <w:rPr>
          <w:color w:val="auto"/>
          <w:highlight w:val="none"/>
        </w:rPr>
        <w:t>）开标结束。</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 xml:space="preserve">5.2.2 </w:t>
      </w:r>
      <w:r>
        <w:rPr>
          <w:rFonts w:hint="eastAsia"/>
          <w:bCs/>
          <w:iCs/>
          <w:color w:val="auto"/>
          <w:highlight w:val="none"/>
        </w:rPr>
        <w:t>在本章第</w:t>
      </w:r>
      <w:r>
        <w:rPr>
          <w:rFonts w:hint="eastAsia"/>
          <w:color w:val="auto"/>
          <w:highlight w:val="none"/>
        </w:rPr>
        <w:t>5.2.1</w:t>
      </w:r>
      <w:r>
        <w:rPr>
          <w:color w:val="auto"/>
          <w:highlight w:val="none"/>
        </w:rPr>
        <w:t>（</w:t>
      </w:r>
      <w:r>
        <w:rPr>
          <w:rFonts w:hint="eastAsia"/>
          <w:color w:val="auto"/>
          <w:highlight w:val="none"/>
        </w:rPr>
        <w:t>6</w:t>
      </w:r>
      <w:r>
        <w:rPr>
          <w:color w:val="auto"/>
          <w:highlight w:val="none"/>
        </w:rPr>
        <w:t>）</w:t>
      </w:r>
      <w:r>
        <w:rPr>
          <w:rFonts w:hint="eastAsia"/>
          <w:color w:val="auto"/>
          <w:highlight w:val="none"/>
        </w:rPr>
        <w:t>目规定的</w:t>
      </w:r>
      <w:r>
        <w:rPr>
          <w:rFonts w:hint="eastAsia"/>
          <w:color w:val="auto"/>
          <w:szCs w:val="21"/>
          <w:highlight w:val="none"/>
        </w:rPr>
        <w:t>时间内</w:t>
      </w:r>
      <w:r>
        <w:rPr>
          <w:rFonts w:hint="eastAsia"/>
          <w:bCs/>
          <w:iCs/>
          <w:color w:val="auto"/>
          <w:highlight w:val="none"/>
        </w:rPr>
        <w:t>，非因“电子交易平台”原因造成投标文件未解密的，视为投标人撤回投标文件。已解密的投标文件少于三个的，招标失败；已解密的投标文件不少于三个，开标继续进行。</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773" w:name="_Toc27225"/>
      <w:bookmarkStart w:id="774" w:name="_Toc13359"/>
      <w:bookmarkStart w:id="775" w:name="_Toc1253256421"/>
      <w:bookmarkStart w:id="776" w:name="_Toc2707"/>
      <w:bookmarkStart w:id="777" w:name="_Toc25752"/>
      <w:bookmarkStart w:id="778" w:name="_Toc460938219"/>
      <w:bookmarkStart w:id="779" w:name="_Toc300834983"/>
      <w:bookmarkStart w:id="780" w:name="_Toc515570328"/>
      <w:bookmarkStart w:id="781" w:name="_Toc18385"/>
      <w:bookmarkStart w:id="782" w:name="_Toc21976"/>
      <w:r>
        <w:rPr>
          <w:rFonts w:hint="eastAsia"/>
          <w:color w:val="auto"/>
          <w:sz w:val="24"/>
          <w:szCs w:val="24"/>
          <w:highlight w:val="none"/>
        </w:rPr>
        <w:t>5.3 开标异议</w:t>
      </w:r>
      <w:bookmarkEnd w:id="773"/>
      <w:bookmarkEnd w:id="774"/>
      <w:bookmarkEnd w:id="775"/>
      <w:bookmarkEnd w:id="776"/>
      <w:bookmarkEnd w:id="777"/>
      <w:bookmarkEnd w:id="778"/>
      <w:bookmarkEnd w:id="779"/>
      <w:bookmarkEnd w:id="780"/>
      <w:bookmarkEnd w:id="781"/>
      <w:bookmarkEnd w:id="782"/>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5.3.1投标人对开标有异议的，应当在开标过程中提出；招标人当场对异议作出答复，并记入开标记录。异议与答复应通过 “开标大厅”进行。</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本处所称异议是指投标人在</w:t>
      </w:r>
      <w:r>
        <w:rPr>
          <w:color w:val="auto"/>
          <w:highlight w:val="none"/>
        </w:rPr>
        <w:t>开标</w:t>
      </w:r>
      <w:r>
        <w:rPr>
          <w:rFonts w:hint="eastAsia"/>
          <w:color w:val="auto"/>
          <w:highlight w:val="none"/>
        </w:rPr>
        <w:t>过程中</w:t>
      </w:r>
      <w:r>
        <w:rPr>
          <w:color w:val="auto"/>
          <w:highlight w:val="none"/>
        </w:rPr>
        <w:t>对投标文件提交、</w:t>
      </w:r>
      <w:r>
        <w:rPr>
          <w:rFonts w:hint="eastAsia"/>
          <w:color w:val="auto"/>
          <w:highlight w:val="none"/>
        </w:rPr>
        <w:t>投标</w:t>
      </w:r>
      <w:r>
        <w:rPr>
          <w:color w:val="auto"/>
          <w:highlight w:val="none"/>
        </w:rPr>
        <w:t>截</w:t>
      </w:r>
      <w:r>
        <w:rPr>
          <w:rFonts w:hint="eastAsia"/>
          <w:color w:val="auto"/>
          <w:highlight w:val="none"/>
        </w:rPr>
        <w:t>止</w:t>
      </w:r>
      <w:r>
        <w:rPr>
          <w:color w:val="auto"/>
          <w:highlight w:val="none"/>
        </w:rPr>
        <w:t>时间、开标程序、开标记录以及投标人和招标人或者投标人相互之间存在利益冲突的情形等</w:t>
      </w:r>
      <w:r>
        <w:rPr>
          <w:rFonts w:hint="eastAsia"/>
          <w:color w:val="auto"/>
          <w:highlight w:val="none"/>
        </w:rPr>
        <w:t>提出的质疑。</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 xml:space="preserve">5.3.2 </w:t>
      </w:r>
      <w:r>
        <w:rPr>
          <w:color w:val="auto"/>
          <w:highlight w:val="none"/>
        </w:rPr>
        <w:t>投标人异议成立的，招标人</w:t>
      </w:r>
      <w:r>
        <w:rPr>
          <w:rFonts w:hint="eastAsia"/>
          <w:color w:val="auto"/>
          <w:highlight w:val="none"/>
        </w:rPr>
        <w:t>将</w:t>
      </w:r>
      <w:r>
        <w:rPr>
          <w:color w:val="auto"/>
          <w:highlight w:val="none"/>
        </w:rPr>
        <w:t>及时采取纠正措施，或者提交评标委员会评审确认；投标人异议不成立的，招标人</w:t>
      </w:r>
      <w:r>
        <w:rPr>
          <w:rFonts w:hint="eastAsia"/>
          <w:color w:val="auto"/>
          <w:highlight w:val="none"/>
        </w:rPr>
        <w:t>将</w:t>
      </w:r>
      <w:r>
        <w:rPr>
          <w:color w:val="auto"/>
          <w:highlight w:val="none"/>
        </w:rPr>
        <w:t>当场给予解释说明。</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783" w:name="_Toc14689"/>
      <w:bookmarkStart w:id="784" w:name="_Toc5289"/>
      <w:bookmarkStart w:id="785" w:name="_Toc14026"/>
      <w:bookmarkStart w:id="786" w:name="_Toc5672"/>
      <w:bookmarkStart w:id="787" w:name="_Toc11162"/>
      <w:bookmarkStart w:id="788" w:name="_Toc409200553"/>
      <w:bookmarkStart w:id="789" w:name="_Toc515570329"/>
      <w:bookmarkStart w:id="790" w:name="_Toc26300"/>
      <w:bookmarkStart w:id="791" w:name="_Toc1868123395"/>
      <w:bookmarkStart w:id="792" w:name="_Toc402465011"/>
      <w:bookmarkStart w:id="793" w:name="_Toc400530224"/>
      <w:r>
        <w:rPr>
          <w:color w:val="auto"/>
          <w:sz w:val="24"/>
          <w:szCs w:val="24"/>
          <w:highlight w:val="none"/>
        </w:rPr>
        <w:t>5.</w:t>
      </w:r>
      <w:r>
        <w:rPr>
          <w:rFonts w:hint="eastAsia"/>
          <w:color w:val="auto"/>
          <w:sz w:val="24"/>
          <w:szCs w:val="24"/>
          <w:highlight w:val="none"/>
        </w:rPr>
        <w:t xml:space="preserve">4 </w:t>
      </w:r>
      <w:r>
        <w:rPr>
          <w:color w:val="auto"/>
          <w:sz w:val="24"/>
          <w:szCs w:val="24"/>
          <w:highlight w:val="none"/>
        </w:rPr>
        <w:t>特殊情况的处置</w:t>
      </w:r>
      <w:bookmarkEnd w:id="783"/>
      <w:bookmarkEnd w:id="784"/>
      <w:bookmarkEnd w:id="785"/>
      <w:bookmarkEnd w:id="786"/>
      <w:bookmarkEnd w:id="787"/>
      <w:bookmarkEnd w:id="788"/>
      <w:bookmarkEnd w:id="789"/>
      <w:bookmarkEnd w:id="790"/>
      <w:bookmarkEnd w:id="791"/>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5.4.1</w:t>
      </w:r>
      <w:r>
        <w:rPr>
          <w:color w:val="auto"/>
          <w:highlight w:val="none"/>
        </w:rPr>
        <w:t>因</w:t>
      </w:r>
      <w:r>
        <w:rPr>
          <w:rFonts w:hint="eastAsia"/>
          <w:color w:val="auto"/>
          <w:highlight w:val="none"/>
        </w:rPr>
        <w:t>“电子交易平台”</w:t>
      </w:r>
      <w:r>
        <w:rPr>
          <w:color w:val="auto"/>
          <w:highlight w:val="none"/>
        </w:rPr>
        <w:t>系统</w:t>
      </w:r>
      <w:r>
        <w:rPr>
          <w:rFonts w:hint="eastAsia"/>
          <w:color w:val="auto"/>
          <w:highlight w:val="none"/>
        </w:rPr>
        <w:t>故障</w:t>
      </w:r>
      <w:r>
        <w:rPr>
          <w:color w:val="auto"/>
          <w:highlight w:val="none"/>
        </w:rPr>
        <w:t>导致</w:t>
      </w:r>
      <w:r>
        <w:rPr>
          <w:rFonts w:hint="eastAsia"/>
          <w:color w:val="auto"/>
          <w:highlight w:val="none"/>
        </w:rPr>
        <w:t>无法投标的，交易中心及时通知招标人，招标人视情况决定是否顺延投标截止时间。</w:t>
      </w:r>
      <w:r>
        <w:rPr>
          <w:color w:val="auto"/>
          <w:highlight w:val="none"/>
        </w:rPr>
        <w:t>因投标人自身</w:t>
      </w:r>
      <w:r>
        <w:rPr>
          <w:rFonts w:hint="eastAsia"/>
          <w:color w:val="auto"/>
          <w:highlight w:val="none"/>
        </w:rPr>
        <w:t>原因</w:t>
      </w:r>
      <w:r>
        <w:rPr>
          <w:color w:val="auto"/>
          <w:highlight w:val="none"/>
        </w:rPr>
        <w:t>导致无法完成投标的，由投标人自行承担后果。</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 xml:space="preserve">5.4.2 </w:t>
      </w:r>
      <w:r>
        <w:rPr>
          <w:color w:val="auto"/>
          <w:highlight w:val="none"/>
        </w:rPr>
        <w:t>因</w:t>
      </w:r>
      <w:r>
        <w:rPr>
          <w:rFonts w:hint="eastAsia"/>
          <w:color w:val="auto"/>
          <w:highlight w:val="none"/>
        </w:rPr>
        <w:t>“电子交易平台”</w:t>
      </w:r>
      <w:r>
        <w:rPr>
          <w:color w:val="auto"/>
          <w:highlight w:val="none"/>
        </w:rPr>
        <w:t>系统</w:t>
      </w:r>
      <w:r>
        <w:rPr>
          <w:rFonts w:hint="eastAsia"/>
          <w:color w:val="auto"/>
          <w:highlight w:val="none"/>
        </w:rPr>
        <w:t>故障</w:t>
      </w:r>
      <w:r>
        <w:rPr>
          <w:color w:val="auto"/>
          <w:highlight w:val="none"/>
        </w:rPr>
        <w:t>导致</w:t>
      </w:r>
      <w:r>
        <w:rPr>
          <w:rFonts w:hint="eastAsia"/>
          <w:color w:val="auto"/>
          <w:highlight w:val="none"/>
        </w:rPr>
        <w:t>无法正常开标的，招标人将</w:t>
      </w:r>
      <w:r>
        <w:rPr>
          <w:color w:val="auto"/>
          <w:highlight w:val="none"/>
        </w:rPr>
        <w:t>暂停开标</w:t>
      </w:r>
      <w:r>
        <w:rPr>
          <w:rFonts w:hint="eastAsia"/>
          <w:color w:val="auto"/>
          <w:highlight w:val="none"/>
        </w:rPr>
        <w:t>，待系统恢复</w:t>
      </w:r>
      <w:r>
        <w:rPr>
          <w:color w:val="auto"/>
          <w:highlight w:val="none"/>
        </w:rPr>
        <w:t>正常</w:t>
      </w:r>
      <w:r>
        <w:rPr>
          <w:rFonts w:hint="eastAsia"/>
          <w:color w:val="auto"/>
          <w:highlight w:val="none"/>
        </w:rPr>
        <w:t>后继续开标。</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5.4.3 “电子交易平台”</w:t>
      </w:r>
      <w:r>
        <w:rPr>
          <w:color w:val="auto"/>
          <w:highlight w:val="none"/>
        </w:rPr>
        <w:t>系统</w:t>
      </w:r>
      <w:r>
        <w:rPr>
          <w:rFonts w:hint="eastAsia"/>
          <w:color w:val="auto"/>
          <w:highlight w:val="none"/>
        </w:rPr>
        <w:t>故障是指下列情形：</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（1）系统服务器发生故障，无法访问或无法使用系统；</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（2）系统的软件或数据库出现错误，不能进行正常操作；</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（3）系统发现有安全漏洞，有潜在的泄密危险；</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（4）出现断电、断网事故；</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color w:val="auto"/>
          <w:highlight w:val="none"/>
        </w:rPr>
        <w:t>（</w:t>
      </w:r>
      <w:r>
        <w:rPr>
          <w:rFonts w:hint="eastAsia"/>
          <w:color w:val="auto"/>
          <w:highlight w:val="none"/>
        </w:rPr>
        <w:t>5</w:t>
      </w:r>
      <w:r>
        <w:rPr>
          <w:color w:val="auto"/>
          <w:highlight w:val="none"/>
        </w:rPr>
        <w:t>）其他无法保证招投标过程</w:t>
      </w:r>
      <w:r>
        <w:rPr>
          <w:rFonts w:hint="eastAsia"/>
          <w:color w:val="auto"/>
          <w:highlight w:val="none"/>
        </w:rPr>
        <w:t>正常进行</w:t>
      </w:r>
      <w:r>
        <w:rPr>
          <w:color w:val="auto"/>
          <w:highlight w:val="none"/>
        </w:rPr>
        <w:t>的情形。</w:t>
      </w:r>
      <w:bookmarkEnd w:id="792"/>
      <w:bookmarkEnd w:id="793"/>
    </w:p>
    <w:bookmarkEnd w:id="759"/>
    <w:p>
      <w:pPr>
        <w:pStyle w:val="20"/>
        <w:spacing w:before="120" w:afterLines="50"/>
        <w:outlineLvl w:val="2"/>
        <w:rPr>
          <w:rFonts w:hint="eastAsia"/>
          <w:color w:val="auto"/>
          <w:highlight w:val="none"/>
        </w:rPr>
      </w:pPr>
      <w:bookmarkStart w:id="794" w:name="_Toc222029486"/>
      <w:bookmarkStart w:id="795" w:name="_Toc1697"/>
      <w:bookmarkStart w:id="796" w:name="_Toc25372"/>
      <w:bookmarkStart w:id="797" w:name="_Toc168476080"/>
      <w:bookmarkStart w:id="798" w:name="_Toc222030988"/>
      <w:bookmarkStart w:id="799" w:name="_Toc1313418476"/>
      <w:bookmarkStart w:id="800" w:name="_Toc11272"/>
      <w:bookmarkStart w:id="801" w:name="_Toc16277"/>
      <w:bookmarkStart w:id="802" w:name="_Toc222032655"/>
      <w:bookmarkStart w:id="803" w:name="_Toc221950200"/>
      <w:bookmarkStart w:id="804" w:name="_Toc452"/>
      <w:bookmarkStart w:id="805" w:name="_Toc21894"/>
      <w:bookmarkStart w:id="806" w:name="_Toc144974530"/>
      <w:bookmarkStart w:id="807" w:name="_Toc1580257222"/>
      <w:bookmarkStart w:id="808" w:name="_Toc222033837"/>
      <w:bookmarkStart w:id="809" w:name="_Toc387753557"/>
      <w:bookmarkStart w:id="810" w:name="_Toc168475677"/>
      <w:bookmarkStart w:id="811" w:name="_Toc229305346"/>
      <w:r>
        <w:rPr>
          <w:rFonts w:hint="eastAsia"/>
          <w:color w:val="auto"/>
          <w:highlight w:val="none"/>
        </w:rPr>
        <w:t>6. 评标</w:t>
      </w:r>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812" w:name="_Toc152045563"/>
      <w:bookmarkStart w:id="813" w:name="_Toc25522"/>
      <w:bookmarkStart w:id="814" w:name="_Toc29457"/>
      <w:bookmarkStart w:id="815" w:name="_Toc179632581"/>
      <w:bookmarkStart w:id="816" w:name="_Toc9634"/>
      <w:bookmarkStart w:id="817" w:name="_Toc144974531"/>
      <w:bookmarkStart w:id="818" w:name="_Toc30768"/>
      <w:bookmarkStart w:id="819" w:name="_Toc152042339"/>
      <w:bookmarkStart w:id="820" w:name="_Toc1286787065"/>
      <w:bookmarkStart w:id="821" w:name="_Toc17877"/>
      <w:bookmarkStart w:id="822" w:name="_Toc16198"/>
      <w:bookmarkStart w:id="823" w:name="_Toc1408970704"/>
      <w:bookmarkStart w:id="824" w:name="_Toc221950207"/>
      <w:r>
        <w:rPr>
          <w:rFonts w:hint="eastAsia"/>
          <w:color w:val="auto"/>
          <w:sz w:val="24"/>
          <w:szCs w:val="24"/>
          <w:highlight w:val="none"/>
        </w:rPr>
        <w:t>6.1 评标委员会</w:t>
      </w:r>
      <w:bookmarkEnd w:id="812"/>
      <w:bookmarkEnd w:id="813"/>
      <w:bookmarkEnd w:id="814"/>
      <w:bookmarkEnd w:id="815"/>
      <w:bookmarkEnd w:id="816"/>
      <w:bookmarkEnd w:id="817"/>
      <w:bookmarkEnd w:id="818"/>
      <w:bookmarkEnd w:id="819"/>
      <w:bookmarkEnd w:id="820"/>
      <w:bookmarkEnd w:id="821"/>
      <w:bookmarkEnd w:id="822"/>
      <w:bookmarkEnd w:id="823"/>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6</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 xml:space="preserve">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6</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评标委员会成员有下列情形之一的，应当回避：</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）投标人或投标人的主要负责人的近亲属；</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）项目主管部门或者行政监督部门的人员；</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）与投标人有经济利益关系或其他利害关系，可能影响对投标公正评审的；</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825" w:name="_Toc152045564"/>
      <w:bookmarkStart w:id="826" w:name="_Toc144974532"/>
      <w:bookmarkStart w:id="827" w:name="_Toc7343"/>
      <w:bookmarkStart w:id="828" w:name="_Toc1595242147"/>
      <w:bookmarkStart w:id="829" w:name="_Toc9964"/>
      <w:bookmarkStart w:id="830" w:name="_Toc14209"/>
      <w:bookmarkStart w:id="831" w:name="_Toc12826"/>
      <w:bookmarkStart w:id="832" w:name="_Toc648231224"/>
      <w:bookmarkStart w:id="833" w:name="_Toc8732"/>
      <w:bookmarkStart w:id="834" w:name="_Toc21087"/>
      <w:bookmarkStart w:id="835" w:name="_Toc152042340"/>
      <w:bookmarkStart w:id="836" w:name="_Toc179632582"/>
      <w:r>
        <w:rPr>
          <w:rFonts w:hint="eastAsia"/>
          <w:color w:val="auto"/>
          <w:sz w:val="24"/>
          <w:szCs w:val="24"/>
          <w:highlight w:val="none"/>
        </w:rPr>
        <w:t>6.2 评标原则</w:t>
      </w:r>
      <w:bookmarkEnd w:id="825"/>
      <w:bookmarkEnd w:id="826"/>
      <w:bookmarkEnd w:id="827"/>
      <w:bookmarkEnd w:id="828"/>
      <w:bookmarkEnd w:id="829"/>
      <w:bookmarkEnd w:id="830"/>
      <w:bookmarkEnd w:id="831"/>
      <w:bookmarkEnd w:id="832"/>
      <w:bookmarkEnd w:id="833"/>
      <w:bookmarkEnd w:id="834"/>
      <w:bookmarkEnd w:id="835"/>
      <w:bookmarkEnd w:id="836"/>
      <w:r>
        <w:rPr>
          <w:rFonts w:hint="eastAsia"/>
          <w:color w:val="auto"/>
          <w:sz w:val="24"/>
          <w:szCs w:val="24"/>
          <w:highlight w:val="none"/>
        </w:rPr>
        <w:tab/>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评标活动遵循公平、公正、科学和择优的原则。</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837" w:name="_Toc152045565"/>
      <w:bookmarkStart w:id="838" w:name="_Toc648893808"/>
      <w:bookmarkStart w:id="839" w:name="_Toc602"/>
      <w:bookmarkStart w:id="840" w:name="_Toc152042341"/>
      <w:bookmarkStart w:id="841" w:name="_Toc27621"/>
      <w:bookmarkStart w:id="842" w:name="_Toc179632583"/>
      <w:bookmarkStart w:id="843" w:name="_Toc23179"/>
      <w:bookmarkStart w:id="844" w:name="_Toc144974533"/>
      <w:bookmarkStart w:id="845" w:name="_Toc5358"/>
      <w:bookmarkStart w:id="846" w:name="_Toc25174"/>
      <w:bookmarkStart w:id="847" w:name="_Toc506259376"/>
      <w:bookmarkStart w:id="848" w:name="_Toc23703"/>
      <w:r>
        <w:rPr>
          <w:rFonts w:hint="eastAsia"/>
          <w:color w:val="auto"/>
          <w:sz w:val="24"/>
          <w:szCs w:val="24"/>
          <w:highlight w:val="none"/>
        </w:rPr>
        <w:t>6.3 评标</w:t>
      </w:r>
      <w:bookmarkEnd w:id="837"/>
      <w:bookmarkEnd w:id="838"/>
      <w:bookmarkEnd w:id="839"/>
      <w:bookmarkEnd w:id="840"/>
      <w:bookmarkEnd w:id="841"/>
      <w:bookmarkEnd w:id="842"/>
      <w:bookmarkEnd w:id="843"/>
      <w:bookmarkEnd w:id="844"/>
      <w:bookmarkEnd w:id="845"/>
      <w:bookmarkEnd w:id="846"/>
      <w:bookmarkEnd w:id="847"/>
      <w:bookmarkEnd w:id="848"/>
    </w:p>
    <w:p>
      <w:pPr>
        <w:pageBreakBefore w:val="0"/>
        <w:widowControl w:val="0"/>
        <w:kinsoku/>
        <w:wordWrap/>
        <w:overflowPunct/>
        <w:topLinePunct w:val="0"/>
        <w:bidi w:val="0"/>
        <w:snapToGrid/>
        <w:spacing w:line="360" w:lineRule="auto"/>
        <w:ind w:firstLine="420" w:firstLineChars="200"/>
        <w:textAlignment w:val="auto"/>
        <w:outlineLvl w:val="9"/>
        <w:rPr>
          <w:color w:val="auto"/>
          <w:szCs w:val="21"/>
          <w:highlight w:val="none"/>
        </w:rPr>
      </w:pPr>
      <w:r>
        <w:rPr>
          <w:rFonts w:hint="eastAsia"/>
          <w:color w:val="auto"/>
          <w:highlight w:val="none"/>
        </w:rPr>
        <w:t>评标委员会按照第三章“评标办法”规定的方法、评审因素、标准和程序对投标文件进行评审。第三章“评标办法”没有规定的方法、评审因素和标准，不作为评标依据。</w:t>
      </w:r>
      <w:bookmarkEnd w:id="824"/>
      <w:bookmarkStart w:id="849" w:name="_Toc222032656"/>
      <w:bookmarkStart w:id="850" w:name="_Toc168475681"/>
      <w:bookmarkStart w:id="851" w:name="_Toc222033838"/>
      <w:bookmarkStart w:id="852" w:name="_Toc221950208"/>
      <w:bookmarkStart w:id="853" w:name="_Toc229305347"/>
      <w:bookmarkStart w:id="854" w:name="_Toc144974534"/>
      <w:bookmarkStart w:id="855" w:name="_Toc387753558"/>
      <w:bookmarkStart w:id="856" w:name="_Toc222030989"/>
      <w:bookmarkStart w:id="857" w:name="_Toc168476084"/>
      <w:bookmarkStart w:id="858" w:name="_Toc222029487"/>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859" w:name="_Toc16859"/>
      <w:bookmarkStart w:id="860" w:name="_Toc7820"/>
      <w:bookmarkStart w:id="861" w:name="_Toc27372"/>
      <w:bookmarkStart w:id="862" w:name="_Toc21484"/>
      <w:bookmarkStart w:id="863" w:name="_Toc987263227"/>
      <w:bookmarkStart w:id="864" w:name="_Toc1470748370"/>
      <w:bookmarkStart w:id="865" w:name="_Toc31035"/>
      <w:bookmarkStart w:id="866" w:name="_Toc31684"/>
      <w:r>
        <w:rPr>
          <w:rFonts w:hint="eastAsia"/>
          <w:color w:val="auto"/>
          <w:sz w:val="24"/>
          <w:szCs w:val="24"/>
          <w:highlight w:val="none"/>
        </w:rPr>
        <w:t>6.4 评标结果公示</w:t>
      </w:r>
      <w:bookmarkEnd w:id="859"/>
      <w:bookmarkEnd w:id="860"/>
      <w:bookmarkEnd w:id="861"/>
      <w:bookmarkEnd w:id="862"/>
      <w:bookmarkEnd w:id="863"/>
      <w:bookmarkEnd w:id="864"/>
      <w:bookmarkEnd w:id="865"/>
      <w:bookmarkEnd w:id="866"/>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招标人将自收到评标报告之日起</w:t>
      </w:r>
      <w:r>
        <w:rPr>
          <w:rFonts w:hint="eastAsia" w:cs="宋体"/>
          <w:color w:val="auto"/>
          <w:szCs w:val="21"/>
          <w:highlight w:val="none"/>
        </w:rPr>
        <w:t>3</w:t>
      </w:r>
      <w:r>
        <w:rPr>
          <w:rFonts w:hint="eastAsia" w:ascii="宋体" w:hAnsi="宋体" w:cs="宋体"/>
          <w:color w:val="auto"/>
          <w:szCs w:val="21"/>
          <w:highlight w:val="none"/>
        </w:rPr>
        <w:t>日内，</w:t>
      </w:r>
      <w:r>
        <w:rPr>
          <w:rFonts w:hint="eastAsia"/>
          <w:color w:val="auto"/>
          <w:highlight w:val="none"/>
        </w:rPr>
        <w:t>在投标人须知前附表规定的媒介公示中标候选人。</w:t>
      </w:r>
      <w:r>
        <w:rPr>
          <w:rFonts w:hint="eastAsia" w:ascii="宋体" w:hAnsi="宋体" w:cs="宋体"/>
          <w:color w:val="auto"/>
          <w:szCs w:val="21"/>
          <w:highlight w:val="none"/>
        </w:rPr>
        <w:t>公示期不少于</w:t>
      </w:r>
      <w:r>
        <w:rPr>
          <w:rFonts w:hint="eastAsia" w:cs="宋体"/>
          <w:color w:val="auto"/>
          <w:szCs w:val="21"/>
          <w:highlight w:val="none"/>
        </w:rPr>
        <w:t>3</w:t>
      </w:r>
      <w:r>
        <w:rPr>
          <w:rFonts w:hint="eastAsia" w:ascii="宋体" w:hAnsi="宋体" w:cs="宋体"/>
          <w:color w:val="auto"/>
          <w:szCs w:val="21"/>
          <w:highlight w:val="none"/>
        </w:rPr>
        <w:t>日</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最后一天须为工作日</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投标人或者其它利害关系人对评标结果有异议的，应当在评标结果公示期间提出。招标人应当自收到异议之日起</w:t>
      </w:r>
      <w:r>
        <w:rPr>
          <w:rFonts w:hint="eastAsia" w:cs="宋体"/>
          <w:color w:val="auto"/>
          <w:szCs w:val="21"/>
          <w:highlight w:val="none"/>
        </w:rPr>
        <w:t>3</w:t>
      </w:r>
      <w:r>
        <w:rPr>
          <w:rFonts w:hint="eastAsia" w:ascii="宋体" w:hAnsi="宋体" w:cs="宋体"/>
          <w:color w:val="auto"/>
          <w:szCs w:val="21"/>
          <w:highlight w:val="none"/>
        </w:rPr>
        <w:t>日内作出答复；作出答复前，应当暂停招投标活动。异议和答复应当通过“电子交易平台”进行。</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867" w:name="_Toc14073"/>
      <w:bookmarkStart w:id="868" w:name="_Toc12404"/>
      <w:bookmarkStart w:id="869" w:name="_Toc511"/>
      <w:bookmarkStart w:id="870" w:name="_Toc2023697418"/>
      <w:bookmarkStart w:id="871" w:name="_Toc14914"/>
      <w:bookmarkStart w:id="872" w:name="_Toc1880395429"/>
      <w:bookmarkStart w:id="873" w:name="_Toc3742"/>
      <w:bookmarkStart w:id="874" w:name="_Toc400530233"/>
      <w:bookmarkStart w:id="875" w:name="_Toc27023"/>
      <w:r>
        <w:rPr>
          <w:rFonts w:hint="eastAsia"/>
          <w:color w:val="auto"/>
          <w:sz w:val="24"/>
          <w:szCs w:val="24"/>
          <w:highlight w:val="none"/>
        </w:rPr>
        <w:t>6.5 履约能力的审查（如有）</w:t>
      </w:r>
      <w:bookmarkEnd w:id="867"/>
      <w:bookmarkEnd w:id="868"/>
      <w:bookmarkEnd w:id="869"/>
      <w:bookmarkEnd w:id="870"/>
      <w:bookmarkEnd w:id="871"/>
      <w:bookmarkEnd w:id="872"/>
      <w:bookmarkEnd w:id="873"/>
      <w:bookmarkEnd w:id="874"/>
      <w:bookmarkEnd w:id="875"/>
    </w:p>
    <w:p>
      <w:pPr>
        <w:pStyle w:val="33"/>
        <w:pageBreakBefore w:val="0"/>
        <w:widowControl w:val="0"/>
        <w:kinsoku/>
        <w:wordWrap/>
        <w:overflowPunct/>
        <w:topLinePunct w:val="0"/>
        <w:bidi w:val="0"/>
        <w:snapToGrid/>
        <w:spacing w:line="360" w:lineRule="auto"/>
        <w:ind w:firstLine="420" w:firstLineChars="200"/>
        <w:textAlignment w:val="auto"/>
        <w:outlineLvl w:val="9"/>
        <w:rPr>
          <w:rFonts w:cs="Times New Roman"/>
          <w:color w:val="auto"/>
          <w:kern w:val="2"/>
          <w:sz w:val="21"/>
          <w:szCs w:val="21"/>
          <w:highlight w:val="none"/>
        </w:rPr>
      </w:pPr>
      <w:r>
        <w:rPr>
          <w:rFonts w:hint="eastAsia" w:cs="Times New Roman"/>
          <w:color w:val="auto"/>
          <w:kern w:val="2"/>
          <w:sz w:val="21"/>
          <w:szCs w:val="21"/>
          <w:highlight w:val="none"/>
        </w:rPr>
        <w:t>如果中标候选人的经营、财务状况发生较大变化或者存在违法行为，招标人认为可能影响其履约能力的，将在发出中标通知书前报请行政监督部门后，召集原评标委员会按照招标文件规定的标准和方法审查确认。</w:t>
      </w:r>
    </w:p>
    <w:p>
      <w:pPr>
        <w:pStyle w:val="20"/>
        <w:spacing w:before="120" w:afterLines="50"/>
        <w:outlineLvl w:val="2"/>
        <w:rPr>
          <w:rFonts w:hint="eastAsia"/>
          <w:color w:val="auto"/>
          <w:highlight w:val="none"/>
        </w:rPr>
      </w:pPr>
      <w:bookmarkStart w:id="876" w:name="_Toc18431"/>
      <w:bookmarkStart w:id="877" w:name="_Toc3896"/>
      <w:bookmarkStart w:id="878" w:name="_Toc8620"/>
      <w:bookmarkStart w:id="879" w:name="_Toc701"/>
      <w:bookmarkStart w:id="880" w:name="_Toc15514"/>
      <w:bookmarkStart w:id="881" w:name="_Toc1905967935"/>
      <w:bookmarkStart w:id="882" w:name="_Toc19197"/>
      <w:bookmarkStart w:id="883" w:name="_Toc1349271611"/>
      <w:r>
        <w:rPr>
          <w:rFonts w:hint="eastAsia"/>
          <w:color w:val="auto"/>
          <w:highlight w:val="none"/>
        </w:rPr>
        <w:t>7. 合同授予</w:t>
      </w:r>
      <w:bookmarkEnd w:id="849"/>
      <w:bookmarkEnd w:id="850"/>
      <w:bookmarkEnd w:id="851"/>
      <w:bookmarkEnd w:id="852"/>
      <w:bookmarkEnd w:id="853"/>
      <w:bookmarkEnd w:id="854"/>
      <w:bookmarkEnd w:id="855"/>
      <w:bookmarkEnd w:id="856"/>
      <w:bookmarkEnd w:id="857"/>
      <w:bookmarkEnd w:id="858"/>
      <w:bookmarkEnd w:id="876"/>
      <w:bookmarkEnd w:id="877"/>
      <w:bookmarkEnd w:id="878"/>
      <w:bookmarkEnd w:id="879"/>
      <w:bookmarkEnd w:id="880"/>
      <w:bookmarkEnd w:id="881"/>
      <w:bookmarkEnd w:id="882"/>
      <w:bookmarkEnd w:id="883"/>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884" w:name="_Toc335638889"/>
      <w:bookmarkStart w:id="885" w:name="_Toc22908"/>
      <w:bookmarkStart w:id="886" w:name="_Toc29461"/>
      <w:bookmarkStart w:id="887" w:name="_Toc13591"/>
      <w:bookmarkStart w:id="888" w:name="_Toc1722711538"/>
      <w:bookmarkStart w:id="889" w:name="_Toc24269"/>
      <w:bookmarkStart w:id="890" w:name="_Toc19398"/>
      <w:bookmarkStart w:id="891" w:name="_Toc18977"/>
      <w:bookmarkStart w:id="892" w:name="_Toc221950211"/>
      <w:r>
        <w:rPr>
          <w:rFonts w:hint="eastAsia"/>
          <w:color w:val="auto"/>
          <w:sz w:val="24"/>
          <w:szCs w:val="24"/>
          <w:highlight w:val="none"/>
        </w:rPr>
        <w:t>7.1 定标方式</w:t>
      </w:r>
      <w:bookmarkEnd w:id="884"/>
      <w:bookmarkEnd w:id="885"/>
      <w:bookmarkEnd w:id="886"/>
      <w:bookmarkEnd w:id="887"/>
      <w:bookmarkEnd w:id="888"/>
      <w:bookmarkEnd w:id="889"/>
      <w:bookmarkEnd w:id="890"/>
      <w:bookmarkEnd w:id="891"/>
    </w:p>
    <w:bookmarkEnd w:id="892"/>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除投标人须知前附表规定评标委员会直接确定中标人外，招标人依据评标委员会推荐的中标候选人确定中标人，评标委员会推荐中标候选人的人数见投标人须知前附表。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投标人须知前附表规定评标委员会直接确定中标人的，评标委员会可根据招标人授权直接确定中标人，</w:t>
      </w:r>
      <w:r>
        <w:rPr>
          <w:rFonts w:hint="eastAsia" w:ascii="宋体" w:hAnsi="宋体" w:cs="宋体"/>
          <w:color w:val="auto"/>
          <w:highlight w:val="none"/>
        </w:rPr>
        <w:t>但投标报价低于其成本的除外。</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投标人须知前附表规定</w:t>
      </w:r>
      <w:r>
        <w:rPr>
          <w:rFonts w:hint="eastAsia" w:ascii="宋体" w:hAnsi="宋体" w:cs="宋体"/>
          <w:color w:val="auto"/>
          <w:szCs w:val="21"/>
          <w:highlight w:val="none"/>
        </w:rPr>
        <w:t>评标委员会推荐中标候选人不超过</w:t>
      </w:r>
      <w:r>
        <w:rPr>
          <w:rFonts w:hint="eastAsia" w:cs="宋体"/>
          <w:color w:val="auto"/>
          <w:szCs w:val="21"/>
          <w:highlight w:val="none"/>
        </w:rPr>
        <w:t>3</w:t>
      </w:r>
      <w:r>
        <w:rPr>
          <w:rFonts w:hint="eastAsia" w:ascii="宋体" w:hAnsi="宋体" w:cs="宋体"/>
          <w:color w:val="auto"/>
          <w:szCs w:val="21"/>
          <w:highlight w:val="none"/>
        </w:rPr>
        <w:t>名的：原则上每个标段推荐</w:t>
      </w:r>
      <w:r>
        <w:rPr>
          <w:rFonts w:hint="eastAsia" w:cs="宋体"/>
          <w:color w:val="auto"/>
          <w:szCs w:val="21"/>
          <w:highlight w:val="none"/>
        </w:rPr>
        <w:t>3</w:t>
      </w:r>
      <w:r>
        <w:rPr>
          <w:rFonts w:hint="eastAsia" w:ascii="宋体" w:hAnsi="宋体" w:cs="宋体"/>
          <w:color w:val="auto"/>
          <w:szCs w:val="21"/>
          <w:highlight w:val="none"/>
        </w:rPr>
        <w:t>名中标候选人，如经评标委员会评审后有效投标人不足</w:t>
      </w:r>
      <w:r>
        <w:rPr>
          <w:rFonts w:hint="eastAsia" w:cs="宋体"/>
          <w:color w:val="auto"/>
          <w:szCs w:val="21"/>
          <w:highlight w:val="none"/>
        </w:rPr>
        <w:t>3</w:t>
      </w:r>
      <w:r>
        <w:rPr>
          <w:rFonts w:hint="eastAsia" w:ascii="宋体" w:hAnsi="宋体" w:cs="宋体"/>
          <w:color w:val="auto"/>
          <w:szCs w:val="21"/>
          <w:highlight w:val="none"/>
        </w:rPr>
        <w:t>名且仍认定为具有可竞争性的，可推荐</w:t>
      </w:r>
      <w:r>
        <w:rPr>
          <w:rFonts w:hint="eastAsia" w:cs="宋体"/>
          <w:color w:val="auto"/>
          <w:szCs w:val="21"/>
          <w:highlight w:val="none"/>
        </w:rPr>
        <w:t>1</w:t>
      </w:r>
      <w:r>
        <w:rPr>
          <w:rFonts w:hint="eastAsia" w:ascii="宋体" w:hAnsi="宋体" w:cs="宋体"/>
          <w:color w:val="auto"/>
          <w:szCs w:val="21"/>
          <w:highlight w:val="none"/>
        </w:rPr>
        <w:t>到</w:t>
      </w:r>
      <w:r>
        <w:rPr>
          <w:rFonts w:hint="eastAsia" w:cs="宋体"/>
          <w:color w:val="auto"/>
          <w:szCs w:val="21"/>
          <w:highlight w:val="none"/>
        </w:rPr>
        <w:t>2</w:t>
      </w:r>
      <w:r>
        <w:rPr>
          <w:rFonts w:hint="eastAsia" w:ascii="宋体" w:hAnsi="宋体" w:cs="宋体"/>
          <w:color w:val="auto"/>
          <w:szCs w:val="21"/>
          <w:highlight w:val="none"/>
        </w:rPr>
        <w:t>名中标候选人,并标明排序，招标人依据评标委员会推荐的中标候选人确定中标人。</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893" w:name="_Toc17303"/>
      <w:bookmarkStart w:id="894" w:name="_Toc24716"/>
      <w:bookmarkStart w:id="895" w:name="_Toc5818"/>
      <w:bookmarkStart w:id="896" w:name="_Toc179632586"/>
      <w:bookmarkStart w:id="897" w:name="_Toc152042344"/>
      <w:bookmarkStart w:id="898" w:name="_Toc19271"/>
      <w:bookmarkStart w:id="899" w:name="_Toc152045568"/>
      <w:bookmarkStart w:id="900" w:name="_Toc1896149150"/>
      <w:bookmarkStart w:id="901" w:name="_Toc144974536"/>
      <w:bookmarkStart w:id="902" w:name="_Toc301126592"/>
      <w:bookmarkStart w:id="903" w:name="_Toc20182"/>
      <w:bookmarkStart w:id="904" w:name="_Toc24741"/>
      <w:r>
        <w:rPr>
          <w:rFonts w:hint="eastAsia"/>
          <w:color w:val="auto"/>
          <w:sz w:val="24"/>
          <w:szCs w:val="24"/>
          <w:highlight w:val="none"/>
        </w:rPr>
        <w:t>7.2 中标通知</w:t>
      </w:r>
      <w:bookmarkEnd w:id="893"/>
      <w:bookmarkEnd w:id="894"/>
      <w:bookmarkEnd w:id="895"/>
      <w:bookmarkEnd w:id="896"/>
      <w:bookmarkEnd w:id="897"/>
      <w:bookmarkEnd w:id="898"/>
      <w:bookmarkEnd w:id="899"/>
      <w:bookmarkEnd w:id="900"/>
      <w:bookmarkEnd w:id="901"/>
      <w:bookmarkEnd w:id="902"/>
      <w:bookmarkEnd w:id="903"/>
      <w:bookmarkEnd w:id="904"/>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评标结果公示期满后，在本章第3.3款规定的投标有效期内，招标人通过“电子交易平台”以书面形式向中标人发出中标通知书，同时将中标结果通知未中标的投标人。</w:t>
      </w:r>
    </w:p>
    <w:p>
      <w:pPr>
        <w:pageBreakBefore w:val="0"/>
        <w:widowControl w:val="0"/>
        <w:kinsoku/>
        <w:wordWrap/>
        <w:overflowPunct/>
        <w:topLinePunct w:val="0"/>
        <w:bidi w:val="0"/>
        <w:snapToGrid/>
        <w:spacing w:line="360" w:lineRule="auto"/>
        <w:ind w:firstLine="420" w:firstLineChars="200"/>
        <w:textAlignment w:val="auto"/>
        <w:outlineLvl w:val="9"/>
        <w:rPr>
          <w:color w:val="auto"/>
          <w:highlight w:val="none"/>
        </w:rPr>
      </w:pPr>
      <w:r>
        <w:rPr>
          <w:rFonts w:hint="eastAsia"/>
          <w:color w:val="auto"/>
          <w:highlight w:val="none"/>
        </w:rPr>
        <w:t>中标通知书发出的同时，招标人将在投标人须知前附表第6.4款规定的媒介发布中标结果公示。</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905" w:name="_Toc152045569"/>
      <w:bookmarkStart w:id="906" w:name="_Toc144974537"/>
      <w:bookmarkStart w:id="907" w:name="_Toc152042345"/>
      <w:bookmarkStart w:id="908" w:name="_Toc179632587"/>
      <w:bookmarkStart w:id="909" w:name="_Toc988"/>
      <w:bookmarkStart w:id="910" w:name="_Toc9116"/>
      <w:bookmarkStart w:id="911" w:name="_Toc25935"/>
      <w:bookmarkStart w:id="912" w:name="_Toc978083176"/>
      <w:bookmarkStart w:id="913" w:name="_Toc17965"/>
      <w:bookmarkStart w:id="914" w:name="_Toc16627"/>
      <w:bookmarkStart w:id="915" w:name="_Toc1915399670"/>
      <w:bookmarkStart w:id="916" w:name="_Toc23733"/>
      <w:r>
        <w:rPr>
          <w:rFonts w:hint="eastAsia"/>
          <w:color w:val="auto"/>
          <w:sz w:val="24"/>
          <w:szCs w:val="24"/>
          <w:highlight w:val="none"/>
        </w:rPr>
        <w:t>7.3 履约</w:t>
      </w:r>
      <w:bookmarkEnd w:id="905"/>
      <w:bookmarkEnd w:id="906"/>
      <w:bookmarkEnd w:id="907"/>
      <w:bookmarkEnd w:id="908"/>
      <w:r>
        <w:rPr>
          <w:rFonts w:hint="eastAsia"/>
          <w:color w:val="auto"/>
          <w:sz w:val="24"/>
          <w:szCs w:val="24"/>
          <w:highlight w:val="none"/>
        </w:rPr>
        <w:t>保证金</w:t>
      </w:r>
      <w:bookmarkEnd w:id="909"/>
      <w:bookmarkEnd w:id="910"/>
      <w:bookmarkEnd w:id="911"/>
      <w:bookmarkEnd w:id="912"/>
      <w:bookmarkEnd w:id="913"/>
      <w:bookmarkEnd w:id="914"/>
      <w:bookmarkEnd w:id="915"/>
      <w:bookmarkEnd w:id="916"/>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highlight w:val="none"/>
        </w:rPr>
        <w:t>投标人须知</w:t>
      </w:r>
      <w:r>
        <w:rPr>
          <w:rFonts w:hint="eastAsia"/>
          <w:color w:val="auto"/>
          <w:highlight w:val="none"/>
        </w:rPr>
        <w:t>前附表规定提交</w:t>
      </w:r>
      <w:r>
        <w:rPr>
          <w:rFonts w:ascii="宋体" w:hAnsi="宋体" w:cs="宋体"/>
          <w:color w:val="auto"/>
          <w:highlight w:val="none"/>
        </w:rPr>
        <w:t>履约</w:t>
      </w:r>
      <w:r>
        <w:rPr>
          <w:rFonts w:hint="eastAsia" w:ascii="宋体" w:hAnsi="宋体" w:cs="宋体"/>
          <w:color w:val="auto"/>
          <w:highlight w:val="none"/>
        </w:rPr>
        <w:t>保证金的</w:t>
      </w:r>
      <w:r>
        <w:rPr>
          <w:rFonts w:ascii="宋体" w:hAnsi="宋体" w:cs="宋体"/>
          <w:color w:val="auto"/>
          <w:highlight w:val="none"/>
        </w:rPr>
        <w:t>，</w:t>
      </w:r>
      <w:r>
        <w:rPr>
          <w:rFonts w:hint="eastAsia" w:ascii="宋体" w:hAnsi="宋体" w:cs="宋体"/>
          <w:color w:val="auto"/>
          <w:szCs w:val="21"/>
          <w:highlight w:val="none"/>
        </w:rPr>
        <w:t>在签订合同前，中标人应按投标人须知前附表规定的金额、担保形式和招标文件第四章“合同条款及格式”规定的履约保证金格式或者事先经过招标人书面认可的履约保证金格式向招标人提交履约保证金。联合体中标的，其履约保证金由牵头人递交，并应符合投标人须知前附表的规定。</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中标人不能按本章第</w:t>
      </w:r>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项要求提交履约保证金的，视为放弃中标，其投标保证金不予退还，给招标人造成的损失超过投标保证金数额的，中标人还应当对超过部分予以赔偿。</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917" w:name="_Toc343551443"/>
      <w:bookmarkStart w:id="918" w:name="_Toc14906"/>
      <w:bookmarkStart w:id="919" w:name="_Toc9530"/>
      <w:bookmarkStart w:id="920" w:name="_Toc23723"/>
      <w:bookmarkStart w:id="921" w:name="_Toc29415"/>
      <w:bookmarkStart w:id="922" w:name="_Toc1625627162"/>
      <w:bookmarkStart w:id="923" w:name="_Toc5242"/>
      <w:bookmarkStart w:id="924" w:name="_Toc18738"/>
      <w:r>
        <w:rPr>
          <w:rFonts w:hint="eastAsia"/>
          <w:color w:val="auto"/>
          <w:sz w:val="24"/>
          <w:szCs w:val="24"/>
          <w:highlight w:val="none"/>
        </w:rPr>
        <w:t>7.4 签订合同</w:t>
      </w:r>
      <w:bookmarkEnd w:id="917"/>
      <w:bookmarkEnd w:id="918"/>
      <w:bookmarkEnd w:id="919"/>
      <w:bookmarkEnd w:id="920"/>
      <w:bookmarkEnd w:id="921"/>
      <w:bookmarkEnd w:id="922"/>
      <w:bookmarkEnd w:id="923"/>
      <w:bookmarkEnd w:id="924"/>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bookmarkStart w:id="925" w:name="_Toc221950219"/>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招标人和中标人应当在投标有效期内并自中标通知书发出之日起</w:t>
      </w:r>
      <w:r>
        <w:rPr>
          <w:rFonts w:hint="eastAsia" w:cs="宋体"/>
          <w:color w:val="auto"/>
          <w:szCs w:val="21"/>
          <w:highlight w:val="none"/>
        </w:rPr>
        <w:t>30</w:t>
      </w:r>
      <w:r>
        <w:rPr>
          <w:rFonts w:hint="eastAsia" w:ascii="宋体" w:hAnsi="宋体" w:cs="宋体"/>
          <w:color w:val="auto"/>
          <w:szCs w:val="21"/>
          <w:highlight w:val="none"/>
        </w:rPr>
        <w:t xml:space="preserve">日内，根据招标文件和中标人的投标文件订立书面合同。中标人无正当理由拒签合同或在签订合同时向招标人提出附加条件的，招标人取消其中标资格，其投标保证金不予退还；给招标人造成的损失超过投标保证金数额的，中标人还应当对超过部分予以赔偿。 </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 xml:space="preserve"> 发出中标通知书后，招标人无正当理由拒签合同的，招标人向中标人退还投标保证金；给中标人造成损失的，还应当赔偿损失。 </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 xml:space="preserve"> 签约合同价的确定原则如下：</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开标时投标函中大写投标总价应为签约合同价。按照第三章“评标办法”的规定，如投标报价有算术错误的，修正的价格经投标人书面确认后，以修正后的投标总价为签约合同价。</w:t>
      </w:r>
    </w:p>
    <w:bookmarkEnd w:id="925"/>
    <w:p>
      <w:pPr>
        <w:pStyle w:val="20"/>
        <w:spacing w:before="120" w:afterLines="50"/>
        <w:outlineLvl w:val="2"/>
        <w:rPr>
          <w:rFonts w:hint="eastAsia"/>
          <w:color w:val="auto"/>
          <w:highlight w:val="none"/>
        </w:rPr>
      </w:pPr>
      <w:bookmarkStart w:id="926" w:name="_Toc222033839"/>
      <w:bookmarkStart w:id="927" w:name="_Toc168475686"/>
      <w:bookmarkStart w:id="928" w:name="_Toc222030990"/>
      <w:bookmarkStart w:id="929" w:name="_Toc221950220"/>
      <w:bookmarkStart w:id="930" w:name="_Toc144974539"/>
      <w:bookmarkStart w:id="931" w:name="_Toc387753559"/>
      <w:bookmarkStart w:id="932" w:name="_Toc222029488"/>
      <w:bookmarkStart w:id="933" w:name="_Toc168476089"/>
      <w:bookmarkStart w:id="934" w:name="_Toc229305348"/>
      <w:bookmarkStart w:id="935" w:name="_Toc222032657"/>
      <w:bookmarkStart w:id="936" w:name="_Toc9117"/>
      <w:bookmarkStart w:id="937" w:name="_Toc248708915"/>
      <w:bookmarkStart w:id="938" w:name="_Toc3777"/>
      <w:bookmarkStart w:id="939" w:name="_Toc23295"/>
      <w:bookmarkStart w:id="940" w:name="_Toc19056"/>
      <w:bookmarkStart w:id="941" w:name="_Toc20001"/>
      <w:bookmarkStart w:id="942" w:name="_Toc1341"/>
      <w:bookmarkStart w:id="943" w:name="_Toc1872235174"/>
      <w:r>
        <w:rPr>
          <w:rFonts w:hint="eastAsia"/>
          <w:color w:val="auto"/>
          <w:highlight w:val="none"/>
        </w:rPr>
        <w:t>8. 重新招标</w:t>
      </w:r>
      <w:bookmarkEnd w:id="926"/>
      <w:bookmarkEnd w:id="927"/>
      <w:bookmarkEnd w:id="928"/>
      <w:bookmarkEnd w:id="929"/>
      <w:bookmarkEnd w:id="930"/>
      <w:bookmarkEnd w:id="931"/>
      <w:bookmarkEnd w:id="932"/>
      <w:bookmarkEnd w:id="933"/>
      <w:bookmarkEnd w:id="934"/>
      <w:bookmarkEnd w:id="935"/>
      <w:r>
        <w:rPr>
          <w:rFonts w:hint="eastAsia"/>
          <w:color w:val="auto"/>
          <w:highlight w:val="none"/>
        </w:rPr>
        <w:t>、不再招标和终止招标</w:t>
      </w:r>
      <w:bookmarkEnd w:id="936"/>
      <w:bookmarkEnd w:id="937"/>
      <w:bookmarkEnd w:id="938"/>
      <w:bookmarkEnd w:id="939"/>
      <w:bookmarkEnd w:id="940"/>
      <w:bookmarkEnd w:id="941"/>
      <w:bookmarkEnd w:id="942"/>
      <w:bookmarkEnd w:id="943"/>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944" w:name="_Toc152045572"/>
      <w:bookmarkStart w:id="945" w:name="_Toc13717"/>
      <w:bookmarkStart w:id="946" w:name="_Toc179632590"/>
      <w:bookmarkStart w:id="947" w:name="_Toc144974540"/>
      <w:bookmarkStart w:id="948" w:name="_Toc619240967"/>
      <w:bookmarkStart w:id="949" w:name="_Toc152042348"/>
      <w:bookmarkStart w:id="950" w:name="_Toc29881"/>
      <w:bookmarkStart w:id="951" w:name="_Toc16460"/>
      <w:bookmarkStart w:id="952" w:name="_Toc18577"/>
      <w:bookmarkStart w:id="953" w:name="_Toc1614643109"/>
      <w:bookmarkStart w:id="954" w:name="_Toc26595"/>
      <w:bookmarkStart w:id="955" w:name="_Toc20199"/>
      <w:bookmarkStart w:id="956" w:name="_Toc221950225"/>
      <w:r>
        <w:rPr>
          <w:rFonts w:hint="eastAsia"/>
          <w:color w:val="auto"/>
          <w:sz w:val="24"/>
          <w:szCs w:val="24"/>
          <w:highlight w:val="none"/>
        </w:rPr>
        <w:t>8.1 重新招标</w:t>
      </w:r>
      <w:bookmarkEnd w:id="944"/>
      <w:bookmarkEnd w:id="945"/>
      <w:bookmarkEnd w:id="946"/>
      <w:bookmarkEnd w:id="947"/>
      <w:bookmarkEnd w:id="948"/>
      <w:bookmarkEnd w:id="949"/>
      <w:bookmarkEnd w:id="950"/>
      <w:bookmarkEnd w:id="951"/>
      <w:bookmarkEnd w:id="952"/>
      <w:bookmarkEnd w:id="953"/>
      <w:bookmarkEnd w:id="954"/>
      <w:bookmarkEnd w:id="955"/>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有下列情形之一的，招标人将重新招标：</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）投标截止时间止，投标人少于</w:t>
      </w:r>
      <w:r>
        <w:rPr>
          <w:rFonts w:hint="eastAsia" w:cs="宋体"/>
          <w:color w:val="auto"/>
          <w:szCs w:val="21"/>
          <w:highlight w:val="none"/>
        </w:rPr>
        <w:t>3</w:t>
      </w:r>
      <w:r>
        <w:rPr>
          <w:rFonts w:hint="eastAsia" w:ascii="宋体" w:hAnsi="宋体" w:cs="宋体"/>
          <w:color w:val="auto"/>
          <w:szCs w:val="21"/>
          <w:highlight w:val="none"/>
        </w:rPr>
        <w:t>个的；</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）经评标委员会评审后否决所有投标的；</w:t>
      </w:r>
    </w:p>
    <w:p>
      <w:pPr>
        <w:pageBreakBefore w:val="0"/>
        <w:widowControl w:val="0"/>
        <w:kinsoku/>
        <w:wordWrap/>
        <w:overflowPunct/>
        <w:topLinePunct w:val="0"/>
        <w:bidi w:val="0"/>
        <w:snapToGrid/>
        <w:spacing w:line="360" w:lineRule="auto"/>
        <w:ind w:firstLine="359" w:firstLineChars="171"/>
        <w:textAlignment w:val="auto"/>
        <w:outlineLvl w:val="9"/>
        <w:rPr>
          <w:rFonts w:ascii="宋体" w:hAnsi="宋体" w:cs="宋体"/>
          <w:color w:val="auto"/>
          <w:szCs w:val="21"/>
          <w:highlight w:val="none"/>
        </w:rPr>
      </w:pP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）第一中标候选人或者所有中标候选人均未与招标人签订合同的；</w:t>
      </w:r>
    </w:p>
    <w:p>
      <w:pPr>
        <w:pageBreakBefore w:val="0"/>
        <w:widowControl w:val="0"/>
        <w:kinsoku/>
        <w:wordWrap/>
        <w:overflowPunct/>
        <w:topLinePunct w:val="0"/>
        <w:bidi w:val="0"/>
        <w:snapToGrid/>
        <w:spacing w:line="360" w:lineRule="auto"/>
        <w:ind w:firstLine="359" w:firstLineChars="171"/>
        <w:textAlignment w:val="auto"/>
        <w:outlineLvl w:val="9"/>
        <w:rPr>
          <w:color w:val="auto"/>
          <w:highlight w:val="none"/>
        </w:rPr>
      </w:pP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olor w:val="auto"/>
          <w:highlight w:val="none"/>
        </w:rPr>
        <w:t>法律、法规规定的其他情形。</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957" w:name="_Toc31189"/>
      <w:bookmarkStart w:id="958" w:name="_Toc11567"/>
      <w:bookmarkStart w:id="959" w:name="_Toc1649675290"/>
      <w:bookmarkStart w:id="960" w:name="_Toc429598458"/>
      <w:bookmarkStart w:id="961" w:name="_Toc1812"/>
      <w:bookmarkStart w:id="962" w:name="_Toc24237"/>
      <w:bookmarkStart w:id="963" w:name="_Toc955"/>
      <w:bookmarkStart w:id="964" w:name="_Toc1846374351"/>
      <w:bookmarkStart w:id="965" w:name="_Toc426495799"/>
      <w:bookmarkStart w:id="966" w:name="_Toc30553"/>
      <w:r>
        <w:rPr>
          <w:rFonts w:hint="eastAsia"/>
          <w:color w:val="auto"/>
          <w:sz w:val="24"/>
          <w:szCs w:val="24"/>
          <w:highlight w:val="none"/>
        </w:rPr>
        <w:t>8.2 不再招标</w:t>
      </w:r>
      <w:bookmarkEnd w:id="957"/>
      <w:bookmarkEnd w:id="958"/>
      <w:bookmarkEnd w:id="959"/>
      <w:bookmarkEnd w:id="960"/>
      <w:bookmarkEnd w:id="961"/>
      <w:bookmarkEnd w:id="962"/>
      <w:bookmarkEnd w:id="963"/>
      <w:bookmarkEnd w:id="964"/>
      <w:bookmarkEnd w:id="965"/>
      <w:bookmarkEnd w:id="966"/>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重新招标后投标人仍少于</w:t>
      </w:r>
      <w:r>
        <w:rPr>
          <w:rFonts w:hint="eastAsia" w:cs="宋体"/>
          <w:color w:val="auto"/>
          <w:szCs w:val="21"/>
          <w:highlight w:val="none"/>
        </w:rPr>
        <w:t>3</w:t>
      </w:r>
      <w:r>
        <w:rPr>
          <w:rFonts w:hint="eastAsia" w:ascii="宋体" w:hAnsi="宋体" w:cs="宋体"/>
          <w:color w:val="auto"/>
          <w:szCs w:val="21"/>
          <w:highlight w:val="none"/>
        </w:rPr>
        <w:t>个或者所有投标被否决的，属于必须审批或核准的工程建设项目，经原审批或核准部门批准后不再进行招标。</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967" w:name="_Toc5717"/>
      <w:bookmarkStart w:id="968" w:name="_Toc15142"/>
      <w:bookmarkStart w:id="969" w:name="_Toc16592"/>
      <w:bookmarkStart w:id="970" w:name="_Toc1566375055"/>
      <w:bookmarkStart w:id="971" w:name="_Toc26374"/>
      <w:bookmarkStart w:id="972" w:name="_Toc1108426983"/>
      <w:bookmarkStart w:id="973" w:name="_Toc3579"/>
      <w:bookmarkStart w:id="974" w:name="_Toc7549"/>
      <w:bookmarkStart w:id="975" w:name="_Toc144974541"/>
      <w:bookmarkStart w:id="976" w:name="_Toc152045573"/>
      <w:bookmarkStart w:id="977" w:name="_Toc152042349"/>
      <w:bookmarkStart w:id="978" w:name="_Toc179632591"/>
      <w:r>
        <w:rPr>
          <w:rFonts w:hint="eastAsia"/>
          <w:color w:val="auto"/>
          <w:sz w:val="24"/>
          <w:szCs w:val="24"/>
          <w:highlight w:val="none"/>
        </w:rPr>
        <w:t>8.3 终止招标</w:t>
      </w:r>
      <w:bookmarkEnd w:id="967"/>
      <w:bookmarkEnd w:id="968"/>
      <w:bookmarkEnd w:id="969"/>
      <w:bookmarkEnd w:id="970"/>
      <w:bookmarkEnd w:id="971"/>
      <w:bookmarkEnd w:id="972"/>
      <w:bookmarkEnd w:id="973"/>
      <w:bookmarkEnd w:id="974"/>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因不可抗力等原因，招标人终止招标的，将通过“电子交易平台”及时发布公告，或者以书面形式通知被邀请的或者已经获取招标文件的潜在投标人。已经发出招标文件或者已经收取投标保证金的，招标人将及时退还所收取的招标文件的费用，以及所收取的投标保证金及银行同期存款利息。</w:t>
      </w:r>
      <w:bookmarkEnd w:id="956"/>
      <w:bookmarkEnd w:id="975"/>
      <w:bookmarkEnd w:id="976"/>
      <w:bookmarkEnd w:id="977"/>
      <w:bookmarkEnd w:id="978"/>
    </w:p>
    <w:p>
      <w:pPr>
        <w:pStyle w:val="20"/>
        <w:spacing w:before="120" w:afterLines="50"/>
        <w:outlineLvl w:val="2"/>
        <w:rPr>
          <w:rFonts w:hint="eastAsia"/>
          <w:color w:val="auto"/>
          <w:highlight w:val="none"/>
        </w:rPr>
      </w:pPr>
      <w:bookmarkStart w:id="979" w:name="_Toc31909"/>
      <w:bookmarkStart w:id="980" w:name="_Toc168475689"/>
      <w:bookmarkStart w:id="981" w:name="_Toc1047632975"/>
      <w:bookmarkStart w:id="982" w:name="_Toc222032658"/>
      <w:bookmarkStart w:id="983" w:name="_Toc222033840"/>
      <w:bookmarkStart w:id="984" w:name="_Toc222030991"/>
      <w:bookmarkStart w:id="985" w:name="_Toc221950226"/>
      <w:bookmarkStart w:id="986" w:name="_Toc14675"/>
      <w:bookmarkStart w:id="987" w:name="_Toc8528"/>
      <w:bookmarkStart w:id="988" w:name="_Toc26132"/>
      <w:bookmarkStart w:id="989" w:name="_Toc14202"/>
      <w:bookmarkStart w:id="990" w:name="_Toc229305349"/>
      <w:bookmarkStart w:id="991" w:name="_Toc387753560"/>
      <w:bookmarkStart w:id="992" w:name="_Toc25904"/>
      <w:bookmarkStart w:id="993" w:name="_Toc144974542"/>
      <w:bookmarkStart w:id="994" w:name="_Toc222029489"/>
      <w:bookmarkStart w:id="995" w:name="_Toc290401259"/>
      <w:bookmarkStart w:id="996" w:name="_Toc168476092"/>
      <w:r>
        <w:rPr>
          <w:rFonts w:hint="eastAsia"/>
          <w:color w:val="auto"/>
          <w:highlight w:val="none"/>
        </w:rPr>
        <w:t>9. 纪律和监督</w:t>
      </w:r>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997" w:name="_Toc13790"/>
      <w:bookmarkStart w:id="998" w:name="_Toc2541"/>
      <w:bookmarkStart w:id="999" w:name="_Toc16814"/>
      <w:bookmarkStart w:id="1000" w:name="_Toc1776691562"/>
      <w:bookmarkStart w:id="1001" w:name="_Toc152045575"/>
      <w:bookmarkStart w:id="1002" w:name="_Toc179632593"/>
      <w:bookmarkStart w:id="1003" w:name="_Toc30146"/>
      <w:bookmarkStart w:id="1004" w:name="_Toc152042351"/>
      <w:bookmarkStart w:id="1005" w:name="_Toc12678"/>
      <w:bookmarkStart w:id="1006" w:name="_Toc144974543"/>
      <w:bookmarkStart w:id="1007" w:name="_Toc735016484"/>
      <w:bookmarkStart w:id="1008" w:name="_Toc7611"/>
      <w:r>
        <w:rPr>
          <w:rFonts w:hint="eastAsia"/>
          <w:color w:val="auto"/>
          <w:sz w:val="24"/>
          <w:szCs w:val="24"/>
          <w:highlight w:val="none"/>
        </w:rPr>
        <w:t>9.1 对招标人的纪律要求</w:t>
      </w:r>
      <w:bookmarkEnd w:id="997"/>
      <w:bookmarkEnd w:id="998"/>
      <w:bookmarkEnd w:id="999"/>
      <w:bookmarkEnd w:id="1000"/>
      <w:bookmarkEnd w:id="1001"/>
      <w:bookmarkEnd w:id="1002"/>
      <w:bookmarkEnd w:id="1003"/>
      <w:bookmarkEnd w:id="1004"/>
      <w:bookmarkEnd w:id="1005"/>
      <w:bookmarkEnd w:id="1006"/>
      <w:bookmarkEnd w:id="1007"/>
      <w:bookmarkEnd w:id="1008"/>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招标人不得泄漏招标投标活动中应当保密的情况和资料，不得与投标人串通损害国家利益、社会公共利益或者他人合法权益。</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009" w:name="_Toc1964185719"/>
      <w:bookmarkStart w:id="1010" w:name="_Toc25175"/>
      <w:bookmarkStart w:id="1011" w:name="_Toc14740"/>
      <w:bookmarkStart w:id="1012" w:name="_Toc572344813"/>
      <w:bookmarkStart w:id="1013" w:name="_Toc18868"/>
      <w:bookmarkStart w:id="1014" w:name="_Toc22626"/>
      <w:bookmarkStart w:id="1015" w:name="_Toc10361"/>
      <w:bookmarkStart w:id="1016" w:name="_Toc25851"/>
      <w:r>
        <w:rPr>
          <w:rFonts w:hint="eastAsia"/>
          <w:color w:val="auto"/>
          <w:sz w:val="24"/>
          <w:szCs w:val="24"/>
          <w:highlight w:val="none"/>
        </w:rPr>
        <w:t>9.2 对投标人的纪律要求</w:t>
      </w:r>
      <w:bookmarkEnd w:id="1009"/>
      <w:bookmarkEnd w:id="1010"/>
      <w:bookmarkEnd w:id="1011"/>
      <w:bookmarkEnd w:id="1012"/>
      <w:bookmarkEnd w:id="1013"/>
      <w:bookmarkEnd w:id="1014"/>
      <w:bookmarkEnd w:id="1015"/>
      <w:bookmarkEnd w:id="1016"/>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017" w:name="_Toc433"/>
      <w:bookmarkStart w:id="1018" w:name="_Toc28765"/>
      <w:bookmarkStart w:id="1019" w:name="_Toc152045577"/>
      <w:bookmarkStart w:id="1020" w:name="_Toc144974545"/>
      <w:bookmarkStart w:id="1021" w:name="_Toc152042353"/>
      <w:bookmarkStart w:id="1022" w:name="_Toc2070218447"/>
      <w:bookmarkStart w:id="1023" w:name="_Toc13189"/>
      <w:bookmarkStart w:id="1024" w:name="_Toc179632595"/>
      <w:bookmarkStart w:id="1025" w:name="_Toc2688"/>
      <w:bookmarkStart w:id="1026" w:name="_Toc27138"/>
      <w:bookmarkStart w:id="1027" w:name="_Toc14833"/>
      <w:bookmarkStart w:id="1028" w:name="_Toc1071668383"/>
      <w:r>
        <w:rPr>
          <w:rFonts w:hint="eastAsia"/>
          <w:color w:val="auto"/>
          <w:sz w:val="24"/>
          <w:szCs w:val="24"/>
          <w:highlight w:val="none"/>
        </w:rPr>
        <w:t>9.3 对评标委员会成员的纪律要求</w:t>
      </w:r>
      <w:bookmarkEnd w:id="1017"/>
      <w:bookmarkEnd w:id="1018"/>
      <w:bookmarkEnd w:id="1019"/>
      <w:bookmarkEnd w:id="1020"/>
      <w:bookmarkEnd w:id="1021"/>
      <w:bookmarkEnd w:id="1022"/>
      <w:bookmarkEnd w:id="1023"/>
      <w:bookmarkEnd w:id="1024"/>
      <w:bookmarkEnd w:id="1025"/>
      <w:bookmarkEnd w:id="1026"/>
      <w:bookmarkEnd w:id="1027"/>
      <w:bookmarkEnd w:id="1028"/>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highlight w:val="none"/>
        </w:rPr>
      </w:pPr>
      <w:bookmarkStart w:id="1029" w:name="_Toc152042354"/>
      <w:bookmarkStart w:id="1030" w:name="_Toc152045578"/>
      <w:bookmarkStart w:id="1031" w:name="_Toc179632596"/>
      <w:bookmarkStart w:id="1032" w:name="_Toc144974546"/>
      <w:r>
        <w:rPr>
          <w:rFonts w:hint="eastAsia" w:ascii="宋体" w:hAnsi="宋体" w:cs="宋体"/>
          <w:color w:val="auto"/>
          <w:highlight w:val="none"/>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w:t>
      </w:r>
      <w:r>
        <w:rPr>
          <w:rFonts w:hint="eastAsia" w:ascii="宋体" w:hAnsi="宋体" w:cs="宋体"/>
          <w:color w:val="auto"/>
          <w:highlight w:val="none"/>
          <w:lang w:eastAsia="zh-CN"/>
        </w:rPr>
        <w:t>第三章</w:t>
      </w:r>
      <w:r>
        <w:rPr>
          <w:rFonts w:hint="eastAsia" w:ascii="宋体" w:hAnsi="宋体" w:cs="宋体"/>
          <w:color w:val="auto"/>
          <w:highlight w:val="none"/>
        </w:rPr>
        <w:t>“评标办法”没有规定的评审因素和标准进行评标。</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033" w:name="_Toc30127"/>
      <w:bookmarkStart w:id="1034" w:name="_Toc22422"/>
      <w:bookmarkStart w:id="1035" w:name="_Toc12870"/>
      <w:bookmarkStart w:id="1036" w:name="_Toc9372"/>
      <w:bookmarkStart w:id="1037" w:name="_Toc26513"/>
      <w:bookmarkStart w:id="1038" w:name="_Toc24507"/>
      <w:bookmarkStart w:id="1039" w:name="_Toc1833606866"/>
      <w:bookmarkStart w:id="1040" w:name="_Toc2098672064"/>
      <w:r>
        <w:rPr>
          <w:rFonts w:hint="eastAsia"/>
          <w:color w:val="auto"/>
          <w:sz w:val="24"/>
          <w:szCs w:val="24"/>
          <w:highlight w:val="none"/>
        </w:rPr>
        <w:t>9.4 对与评标活动有关的工作人员的纪律要求</w:t>
      </w:r>
      <w:bookmarkEnd w:id="1029"/>
      <w:bookmarkEnd w:id="1030"/>
      <w:bookmarkEnd w:id="1031"/>
      <w:bookmarkEnd w:id="1033"/>
      <w:bookmarkEnd w:id="1034"/>
      <w:bookmarkEnd w:id="1035"/>
      <w:bookmarkEnd w:id="1036"/>
      <w:bookmarkEnd w:id="1037"/>
      <w:bookmarkEnd w:id="1038"/>
      <w:bookmarkEnd w:id="1039"/>
      <w:bookmarkEnd w:id="1040"/>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bookmarkStart w:id="1041" w:name="_Toc152042355"/>
      <w:r>
        <w:rPr>
          <w:rFonts w:hint="eastAsia" w:ascii="宋体" w:hAnsi="宋体" w:cs="宋体"/>
          <w:color w:val="auto"/>
          <w:szCs w:val="21"/>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1041"/>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042" w:name="_Toc12740"/>
      <w:bookmarkStart w:id="1043" w:name="_Toc30125"/>
      <w:bookmarkStart w:id="1044" w:name="_Toc14624"/>
      <w:bookmarkStart w:id="1045" w:name="_Toc1193264135"/>
      <w:bookmarkStart w:id="1046" w:name="_Toc15180"/>
      <w:bookmarkStart w:id="1047" w:name="_Toc152042356"/>
      <w:bookmarkStart w:id="1048" w:name="_Toc179632597"/>
      <w:bookmarkStart w:id="1049" w:name="_Toc152045579"/>
      <w:bookmarkStart w:id="1050" w:name="_Toc2211"/>
      <w:bookmarkStart w:id="1051" w:name="_Toc2051206409"/>
      <w:bookmarkStart w:id="1052" w:name="_Toc4921"/>
      <w:r>
        <w:rPr>
          <w:rFonts w:hint="eastAsia"/>
          <w:color w:val="auto"/>
          <w:sz w:val="24"/>
          <w:szCs w:val="24"/>
          <w:highlight w:val="none"/>
        </w:rPr>
        <w:t>9.5 投诉</w:t>
      </w:r>
      <w:bookmarkEnd w:id="1032"/>
      <w:bookmarkEnd w:id="1042"/>
      <w:bookmarkEnd w:id="1043"/>
      <w:bookmarkEnd w:id="1044"/>
      <w:bookmarkEnd w:id="1045"/>
      <w:bookmarkEnd w:id="1046"/>
      <w:bookmarkEnd w:id="1047"/>
      <w:bookmarkEnd w:id="1048"/>
      <w:bookmarkEnd w:id="1049"/>
      <w:bookmarkEnd w:id="1050"/>
      <w:bookmarkEnd w:id="1051"/>
      <w:bookmarkEnd w:id="1052"/>
    </w:p>
    <w:p>
      <w:pPr>
        <w:pageBreakBefore w:val="0"/>
        <w:widowControl w:val="0"/>
        <w:kinsoku/>
        <w:wordWrap/>
        <w:overflowPunct/>
        <w:topLinePunct w:val="0"/>
        <w:bidi w:val="0"/>
        <w:snapToGrid/>
        <w:spacing w:line="360" w:lineRule="auto"/>
        <w:ind w:firstLine="411" w:firstLineChars="196"/>
        <w:textAlignment w:val="auto"/>
        <w:outlineLvl w:val="9"/>
        <w:rPr>
          <w:rFonts w:ascii="宋体" w:hAnsi="宋体" w:cs="宋体"/>
          <w:color w:val="auto"/>
          <w:szCs w:val="21"/>
          <w:highlight w:val="none"/>
        </w:rPr>
      </w:pPr>
      <w:r>
        <w:rPr>
          <w:rFonts w:hint="eastAsia" w:ascii="宋体" w:hAnsi="宋体" w:cs="宋体"/>
          <w:color w:val="auto"/>
          <w:szCs w:val="21"/>
          <w:highlight w:val="none"/>
        </w:rPr>
        <w:t>本次招标投标活动及其相关当事人应当接受</w:t>
      </w:r>
      <w:r>
        <w:rPr>
          <w:rFonts w:hint="eastAsia" w:ascii="宋体" w:hAnsi="宋体" w:cs="宋体"/>
          <w:color w:val="auto"/>
          <w:spacing w:val="4"/>
          <w:kern w:val="0"/>
          <w:sz w:val="22"/>
          <w:szCs w:val="22"/>
          <w:highlight w:val="none"/>
        </w:rPr>
        <w:t>有关</w:t>
      </w:r>
      <w:r>
        <w:rPr>
          <w:rFonts w:hint="eastAsia" w:ascii="宋体" w:hAnsi="宋体" w:cs="宋体"/>
          <w:color w:val="auto"/>
          <w:szCs w:val="21"/>
          <w:highlight w:val="none"/>
        </w:rPr>
        <w:t>行政监督部门依法实施的监督。</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投标人和其他利害关系人认为本次招标活动</w:t>
      </w:r>
      <w:r>
        <w:rPr>
          <w:rFonts w:hint="eastAsia" w:ascii="宋体" w:hAnsi="宋体" w:cs="宋体"/>
          <w:color w:val="auto"/>
          <w:highlight w:val="none"/>
          <w:lang w:eastAsia="zh-CN"/>
        </w:rPr>
        <w:t>违反法律法规</w:t>
      </w:r>
      <w:r>
        <w:rPr>
          <w:rFonts w:hint="eastAsia" w:ascii="宋体" w:hAnsi="宋体" w:cs="宋体"/>
          <w:color w:val="auto"/>
          <w:highlight w:val="none"/>
        </w:rPr>
        <w:t>和规章规定的，有权自知道或者应当知道之日起</w:t>
      </w:r>
      <w:r>
        <w:rPr>
          <w:rFonts w:hint="eastAsia" w:cs="宋体"/>
          <w:color w:val="auto"/>
          <w:highlight w:val="none"/>
        </w:rPr>
        <w:t>10</w:t>
      </w:r>
      <w:r>
        <w:rPr>
          <w:rFonts w:hint="eastAsia" w:ascii="宋体" w:hAnsi="宋体" w:cs="宋体"/>
          <w:color w:val="auto"/>
          <w:highlight w:val="none"/>
        </w:rPr>
        <w:t>日内向有关行政监督部门投诉，其中对招标文件的内容、开标、评标结果进行投诉的，应当按本章第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款、第</w:t>
      </w:r>
      <w:r>
        <w:rPr>
          <w:rFonts w:hint="eastAsia" w:cs="宋体"/>
          <w:color w:val="auto"/>
          <w:highlight w:val="none"/>
        </w:rPr>
        <w:t>5</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款、第</w:t>
      </w:r>
      <w:r>
        <w:rPr>
          <w:rFonts w:hint="eastAsia" w:cs="宋体"/>
          <w:color w:val="auto"/>
          <w:highlight w:val="none"/>
        </w:rPr>
        <w:t>6</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款的规定先向招标人提出异议后，方可向有关行政监督部门投诉，异议答复期不计算在规定的投诉时效期限内。</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pacing w:val="4"/>
          <w:kern w:val="0"/>
          <w:sz w:val="22"/>
          <w:szCs w:val="22"/>
          <w:highlight w:val="none"/>
        </w:rPr>
      </w:pPr>
      <w:bookmarkStart w:id="1053" w:name="_Toc387753561"/>
      <w:r>
        <w:rPr>
          <w:rFonts w:hint="eastAsia" w:ascii="宋体" w:hAnsi="宋体" w:cs="宋体"/>
          <w:color w:val="auto"/>
          <w:highlight w:val="none"/>
        </w:rPr>
        <w:t>投标人和其他利害关系人的</w:t>
      </w:r>
      <w:r>
        <w:rPr>
          <w:rFonts w:hint="eastAsia" w:ascii="宋体" w:hAnsi="宋体" w:cs="宋体"/>
          <w:color w:val="auto"/>
          <w:spacing w:val="4"/>
          <w:kern w:val="0"/>
          <w:sz w:val="22"/>
          <w:szCs w:val="22"/>
          <w:highlight w:val="none"/>
        </w:rPr>
        <w:t>投诉应</w:t>
      </w:r>
      <w:r>
        <w:rPr>
          <w:rFonts w:hint="eastAsia" w:ascii="宋体" w:hAnsi="宋体" w:cs="宋体"/>
          <w:color w:val="auto"/>
          <w:highlight w:val="none"/>
        </w:rPr>
        <w:t>按照《工程建设项目招标投标活动投诉处理办法》</w:t>
      </w:r>
      <w:r>
        <w:rPr>
          <w:rFonts w:hint="eastAsia" w:ascii="宋体" w:hAnsi="宋体" w:cs="宋体"/>
          <w:color w:val="auto"/>
          <w:highlight w:val="none"/>
          <w:lang w:val="en-US" w:eastAsia="zh-CN"/>
        </w:rPr>
        <w:t>等相关</w:t>
      </w:r>
      <w:r>
        <w:rPr>
          <w:rFonts w:hint="eastAsia" w:ascii="宋体" w:hAnsi="宋体" w:cs="宋体"/>
          <w:color w:val="auto"/>
          <w:highlight w:val="none"/>
        </w:rPr>
        <w:t>规定进行。</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有关行政监督部门的联系方式见投标人须知前附表。</w:t>
      </w:r>
    </w:p>
    <w:p>
      <w:pPr>
        <w:pStyle w:val="20"/>
        <w:spacing w:before="120" w:afterLines="50"/>
        <w:outlineLvl w:val="2"/>
        <w:rPr>
          <w:rFonts w:hint="eastAsia"/>
          <w:color w:val="auto"/>
          <w:highlight w:val="none"/>
        </w:rPr>
      </w:pPr>
      <w:bookmarkStart w:id="1054" w:name="_Toc3685"/>
      <w:bookmarkStart w:id="1055" w:name="_Toc444105354"/>
      <w:bookmarkStart w:id="1056" w:name="_Toc28829"/>
      <w:bookmarkStart w:id="1057" w:name="_Toc23553"/>
      <w:bookmarkStart w:id="1058" w:name="_Toc2453"/>
      <w:bookmarkStart w:id="1059" w:name="_Toc846743330"/>
      <w:bookmarkStart w:id="1060" w:name="_Toc2992"/>
      <w:bookmarkStart w:id="1061" w:name="_Toc19989"/>
      <w:r>
        <w:rPr>
          <w:rFonts w:hint="eastAsia"/>
          <w:color w:val="auto"/>
          <w:highlight w:val="none"/>
        </w:rPr>
        <w:t>10. 需要补充的其他内容</w:t>
      </w:r>
      <w:bookmarkEnd w:id="1053"/>
      <w:bookmarkEnd w:id="1054"/>
      <w:bookmarkEnd w:id="1055"/>
      <w:bookmarkEnd w:id="1056"/>
      <w:bookmarkEnd w:id="1057"/>
      <w:bookmarkEnd w:id="1058"/>
      <w:bookmarkEnd w:id="1059"/>
      <w:bookmarkEnd w:id="1060"/>
      <w:bookmarkEnd w:id="1061"/>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062" w:name="_Toc1731692687"/>
      <w:bookmarkStart w:id="1063" w:name="_Toc491089701"/>
      <w:bookmarkStart w:id="1064" w:name="_Toc16004"/>
      <w:bookmarkStart w:id="1065" w:name="_Toc473758094"/>
      <w:bookmarkStart w:id="1066" w:name="_Toc20603"/>
      <w:bookmarkStart w:id="1067" w:name="_Toc19550"/>
      <w:bookmarkStart w:id="1068" w:name="_Toc524890086"/>
      <w:bookmarkStart w:id="1069" w:name="_Toc24329"/>
      <w:bookmarkStart w:id="1070" w:name="_Toc17496"/>
      <w:bookmarkStart w:id="1071" w:name="_Toc494315173"/>
      <w:bookmarkStart w:id="1072" w:name="_Toc16242"/>
      <w:bookmarkStart w:id="1073" w:name="_Toc221950256"/>
      <w:bookmarkStart w:id="1074" w:name="_Toc168476099"/>
      <w:bookmarkStart w:id="1075" w:name="_Toc168475696"/>
      <w:bookmarkStart w:id="1076" w:name="_Toc144974548"/>
      <w:r>
        <w:rPr>
          <w:rFonts w:hint="eastAsia"/>
          <w:color w:val="auto"/>
          <w:sz w:val="24"/>
          <w:szCs w:val="24"/>
          <w:highlight w:val="none"/>
        </w:rPr>
        <w:t>10.1 多标段投标</w:t>
      </w:r>
      <w:bookmarkEnd w:id="1062"/>
      <w:bookmarkEnd w:id="1063"/>
      <w:bookmarkEnd w:id="1064"/>
      <w:bookmarkEnd w:id="1065"/>
      <w:bookmarkEnd w:id="1066"/>
      <w:bookmarkEnd w:id="1067"/>
      <w:bookmarkEnd w:id="1068"/>
      <w:bookmarkEnd w:id="1069"/>
      <w:bookmarkEnd w:id="1070"/>
      <w:bookmarkEnd w:id="1071"/>
      <w:bookmarkEnd w:id="1072"/>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多标段投标规定：见投标人须知前附表。</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077" w:name="_Toc15994"/>
      <w:bookmarkStart w:id="1078" w:name="_Toc494315174"/>
      <w:bookmarkStart w:id="1079" w:name="_Toc1921405958"/>
      <w:bookmarkStart w:id="1080" w:name="_Toc62377734"/>
      <w:bookmarkStart w:id="1081" w:name="_Toc387753565"/>
      <w:bookmarkStart w:id="1082" w:name="_Toc31550"/>
      <w:bookmarkStart w:id="1083" w:name="_Toc15732"/>
      <w:bookmarkStart w:id="1084" w:name="_Toc22543"/>
      <w:bookmarkStart w:id="1085" w:name="_Toc524890087"/>
      <w:bookmarkStart w:id="1086" w:name="_Toc18066"/>
      <w:bookmarkStart w:id="1087" w:name="_Toc491089702"/>
      <w:bookmarkStart w:id="1088" w:name="_Toc8462"/>
      <w:r>
        <w:rPr>
          <w:rFonts w:hint="eastAsia"/>
          <w:color w:val="auto"/>
          <w:sz w:val="24"/>
          <w:szCs w:val="24"/>
          <w:highlight w:val="none"/>
        </w:rPr>
        <w:t>10.2 中标人的投标文件</w:t>
      </w:r>
      <w:bookmarkEnd w:id="1077"/>
      <w:bookmarkEnd w:id="1078"/>
      <w:bookmarkEnd w:id="1079"/>
      <w:bookmarkEnd w:id="1080"/>
      <w:bookmarkEnd w:id="1081"/>
      <w:bookmarkEnd w:id="1082"/>
      <w:bookmarkEnd w:id="1083"/>
      <w:bookmarkEnd w:id="1084"/>
      <w:bookmarkEnd w:id="1085"/>
      <w:bookmarkEnd w:id="1086"/>
      <w:bookmarkEnd w:id="1087"/>
      <w:bookmarkEnd w:id="1088"/>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中标人在签订合同前须向招标人另行提交的投标文件份数：见投标人须知前附表。</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中标后提交的纸质投标文件内容应与投标时递交的电子投标文件内容保持一致。当纸质投标文件与电子投标文件不一致时，以递交的电子投标文件为准，造成损失或者产生不良影响的，招标人有权追究相应的法律责任并作为不良行为报送有关行政监督部门记录。</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089" w:name="_Toc23547"/>
      <w:bookmarkStart w:id="1090" w:name="_Toc27330"/>
      <w:bookmarkStart w:id="1091" w:name="_Toc29217"/>
      <w:bookmarkStart w:id="1092" w:name="_Toc14635"/>
      <w:bookmarkStart w:id="1093" w:name="_Toc215536530"/>
      <w:bookmarkStart w:id="1094" w:name="_Toc524890088"/>
      <w:bookmarkStart w:id="1095" w:name="_Toc25221"/>
      <w:bookmarkStart w:id="1096" w:name="_Toc1233343029"/>
      <w:bookmarkStart w:id="1097" w:name="_Toc8134"/>
      <w:r>
        <w:rPr>
          <w:rFonts w:hint="eastAsia"/>
          <w:color w:val="auto"/>
          <w:sz w:val="24"/>
          <w:szCs w:val="24"/>
          <w:highlight w:val="none"/>
        </w:rPr>
        <w:t>10.</w:t>
      </w:r>
      <w:r>
        <w:rPr>
          <w:rFonts w:hint="eastAsia"/>
          <w:color w:val="auto"/>
          <w:sz w:val="24"/>
          <w:szCs w:val="24"/>
          <w:highlight w:val="none"/>
          <w:lang w:val="en-US" w:eastAsia="zh-CN"/>
        </w:rPr>
        <w:t>3</w:t>
      </w:r>
      <w:r>
        <w:rPr>
          <w:color w:val="auto"/>
          <w:sz w:val="24"/>
          <w:szCs w:val="24"/>
          <w:highlight w:val="none"/>
        </w:rPr>
        <w:t>交易平台信息服务费</w:t>
      </w:r>
      <w:bookmarkEnd w:id="1089"/>
      <w:bookmarkEnd w:id="1090"/>
      <w:bookmarkEnd w:id="1091"/>
      <w:bookmarkEnd w:id="1092"/>
      <w:bookmarkEnd w:id="1093"/>
      <w:bookmarkEnd w:id="1094"/>
      <w:bookmarkEnd w:id="1095"/>
      <w:bookmarkEnd w:id="1096"/>
      <w:bookmarkEnd w:id="1097"/>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ascii="宋体" w:hAnsi="宋体"/>
          <w:color w:val="auto"/>
          <w:szCs w:val="21"/>
          <w:highlight w:val="none"/>
        </w:rPr>
        <w:t>交易平台信息服务费缴费</w:t>
      </w:r>
      <w:r>
        <w:rPr>
          <w:rFonts w:hint="eastAsia" w:ascii="宋体" w:hAnsi="宋体"/>
          <w:color w:val="auto"/>
          <w:szCs w:val="21"/>
          <w:highlight w:val="none"/>
        </w:rPr>
        <w:t>规定：</w:t>
      </w:r>
      <w:r>
        <w:rPr>
          <w:rFonts w:ascii="宋体" w:hAnsi="宋体"/>
          <w:color w:val="auto"/>
          <w:szCs w:val="21"/>
          <w:highlight w:val="none"/>
        </w:rPr>
        <w:t>见投标人须知前附表</w:t>
      </w:r>
      <w:r>
        <w:rPr>
          <w:rFonts w:hint="eastAsia" w:ascii="宋体" w:hAnsi="宋体"/>
          <w:color w:val="auto"/>
          <w:szCs w:val="21"/>
          <w:highlight w:val="none"/>
        </w:rPr>
        <w:t>。</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098" w:name="_Toc825753761"/>
      <w:bookmarkStart w:id="1099" w:name="_Toc10035"/>
      <w:bookmarkStart w:id="1100" w:name="_Toc12477"/>
      <w:bookmarkStart w:id="1101" w:name="_Toc91949520"/>
      <w:bookmarkStart w:id="1102" w:name="_Toc24759"/>
      <w:bookmarkStart w:id="1103" w:name="_Toc22357"/>
      <w:bookmarkStart w:id="1104" w:name="_Toc102"/>
      <w:bookmarkStart w:id="1105" w:name="_Toc26168"/>
      <w:bookmarkStart w:id="1106" w:name="_Toc524890089"/>
      <w:r>
        <w:rPr>
          <w:rFonts w:hint="eastAsia"/>
          <w:color w:val="auto"/>
          <w:sz w:val="24"/>
          <w:szCs w:val="24"/>
          <w:highlight w:val="none"/>
        </w:rPr>
        <w:t>1</w:t>
      </w:r>
      <w:r>
        <w:rPr>
          <w:color w:val="auto"/>
          <w:sz w:val="24"/>
          <w:szCs w:val="24"/>
          <w:highlight w:val="none"/>
        </w:rPr>
        <w:t>0.</w:t>
      </w:r>
      <w:r>
        <w:rPr>
          <w:rFonts w:hint="eastAsia"/>
          <w:color w:val="auto"/>
          <w:sz w:val="24"/>
          <w:szCs w:val="24"/>
          <w:highlight w:val="none"/>
          <w:lang w:val="en-US" w:eastAsia="zh-CN"/>
        </w:rPr>
        <w:t>4</w:t>
      </w:r>
      <w:r>
        <w:rPr>
          <w:color w:val="auto"/>
          <w:sz w:val="24"/>
          <w:szCs w:val="24"/>
          <w:highlight w:val="none"/>
        </w:rPr>
        <w:t xml:space="preserve"> 招标代理服务费</w:t>
      </w:r>
      <w:bookmarkEnd w:id="1098"/>
      <w:bookmarkEnd w:id="1099"/>
      <w:bookmarkEnd w:id="1100"/>
      <w:bookmarkEnd w:id="1101"/>
      <w:bookmarkEnd w:id="1102"/>
      <w:bookmarkEnd w:id="1103"/>
      <w:bookmarkEnd w:id="1104"/>
      <w:bookmarkEnd w:id="1105"/>
      <w:bookmarkEnd w:id="1106"/>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招标代理服务费收取约定：见投标人须知前附表。</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107" w:name="_Toc426495266"/>
      <w:bookmarkStart w:id="1108" w:name="_Toc920688718"/>
      <w:bookmarkStart w:id="1109" w:name="_Toc14836"/>
      <w:bookmarkStart w:id="1110" w:name="_Toc28531742"/>
      <w:bookmarkStart w:id="1111" w:name="_Toc505"/>
      <w:bookmarkStart w:id="1112" w:name="_Toc491089703"/>
      <w:bookmarkStart w:id="1113" w:name="_Toc12780"/>
      <w:bookmarkStart w:id="1114" w:name="_Toc32353"/>
      <w:bookmarkStart w:id="1115" w:name="_Toc494315175"/>
      <w:bookmarkStart w:id="1116" w:name="_Toc524890090"/>
      <w:bookmarkStart w:id="1117" w:name="_Toc9639"/>
      <w:bookmarkStart w:id="1118" w:name="_Toc6767"/>
      <w:bookmarkStart w:id="1119" w:name="_Toc522540551"/>
      <w:r>
        <w:rPr>
          <w:rFonts w:hint="eastAsia"/>
          <w:color w:val="auto"/>
          <w:sz w:val="24"/>
          <w:szCs w:val="24"/>
          <w:highlight w:val="none"/>
        </w:rPr>
        <w:t>10.</w:t>
      </w:r>
      <w:r>
        <w:rPr>
          <w:rFonts w:hint="eastAsia"/>
          <w:color w:val="auto"/>
          <w:sz w:val="24"/>
          <w:szCs w:val="24"/>
          <w:highlight w:val="none"/>
          <w:lang w:val="en-US" w:eastAsia="zh-CN"/>
        </w:rPr>
        <w:t>5</w:t>
      </w:r>
      <w:r>
        <w:rPr>
          <w:rFonts w:hint="eastAsia"/>
          <w:color w:val="auto"/>
          <w:sz w:val="24"/>
          <w:szCs w:val="24"/>
          <w:highlight w:val="none"/>
        </w:rPr>
        <w:t xml:space="preserve"> 知识产权</w:t>
      </w:r>
      <w:bookmarkEnd w:id="1107"/>
      <w:bookmarkEnd w:id="1108"/>
      <w:bookmarkEnd w:id="1109"/>
      <w:bookmarkEnd w:id="1110"/>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有关知识产权的规定：见投标人须知前附表。</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120" w:name="_Toc426495267"/>
      <w:bookmarkStart w:id="1121" w:name="_Toc28531743"/>
      <w:bookmarkStart w:id="1122" w:name="_Toc8173"/>
      <w:bookmarkStart w:id="1123" w:name="_Toc624737084"/>
      <w:r>
        <w:rPr>
          <w:rFonts w:hint="eastAsia"/>
          <w:color w:val="auto"/>
          <w:sz w:val="24"/>
          <w:szCs w:val="24"/>
          <w:highlight w:val="none"/>
        </w:rPr>
        <w:t>10.</w:t>
      </w:r>
      <w:r>
        <w:rPr>
          <w:rFonts w:hint="eastAsia"/>
          <w:color w:val="auto"/>
          <w:sz w:val="24"/>
          <w:szCs w:val="24"/>
          <w:highlight w:val="none"/>
          <w:lang w:val="en-US" w:eastAsia="zh-CN"/>
        </w:rPr>
        <w:t>6</w:t>
      </w:r>
      <w:r>
        <w:rPr>
          <w:rFonts w:hint="eastAsia"/>
          <w:color w:val="auto"/>
          <w:sz w:val="24"/>
          <w:szCs w:val="24"/>
          <w:highlight w:val="none"/>
        </w:rPr>
        <w:t>同义词语</w:t>
      </w:r>
      <w:bookmarkEnd w:id="1120"/>
      <w:bookmarkEnd w:id="1121"/>
      <w:bookmarkEnd w:id="1122"/>
      <w:bookmarkEnd w:id="1123"/>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本招标文件的同义词语：见投标人须知前附表。</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124" w:name="_Toc426495268"/>
      <w:bookmarkStart w:id="1125" w:name="_Toc2139172237"/>
      <w:bookmarkStart w:id="1126" w:name="_Toc14055"/>
      <w:bookmarkStart w:id="1127" w:name="_Toc28531744"/>
      <w:r>
        <w:rPr>
          <w:rFonts w:hint="eastAsia"/>
          <w:color w:val="auto"/>
          <w:sz w:val="24"/>
          <w:szCs w:val="24"/>
          <w:highlight w:val="none"/>
        </w:rPr>
        <w:t>10.</w:t>
      </w:r>
      <w:r>
        <w:rPr>
          <w:rFonts w:hint="eastAsia"/>
          <w:color w:val="auto"/>
          <w:sz w:val="24"/>
          <w:szCs w:val="24"/>
          <w:highlight w:val="none"/>
          <w:lang w:val="en-US" w:eastAsia="zh-CN"/>
        </w:rPr>
        <w:t>7</w:t>
      </w:r>
      <w:r>
        <w:rPr>
          <w:rFonts w:hint="eastAsia"/>
          <w:color w:val="auto"/>
          <w:sz w:val="24"/>
          <w:szCs w:val="24"/>
          <w:highlight w:val="none"/>
        </w:rPr>
        <w:t xml:space="preserve"> 解释权</w:t>
      </w:r>
      <w:bookmarkEnd w:id="1124"/>
      <w:bookmarkEnd w:id="1125"/>
      <w:bookmarkEnd w:id="1126"/>
      <w:bookmarkEnd w:id="1127"/>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有关招标文件的解释权：见投标人须知前附表。</w:t>
      </w:r>
    </w:p>
    <w:p>
      <w:pPr>
        <w:pStyle w:val="32"/>
        <w:pageBreakBefore w:val="0"/>
        <w:widowControl w:val="0"/>
        <w:kinsoku/>
        <w:wordWrap/>
        <w:overflowPunct/>
        <w:topLinePunct w:val="0"/>
        <w:bidi w:val="0"/>
        <w:snapToGrid/>
        <w:spacing w:line="360" w:lineRule="auto"/>
        <w:textAlignment w:val="auto"/>
        <w:outlineLvl w:val="9"/>
        <w:rPr>
          <w:color w:val="auto"/>
          <w:sz w:val="24"/>
          <w:szCs w:val="24"/>
          <w:highlight w:val="none"/>
        </w:rPr>
      </w:pPr>
      <w:bookmarkStart w:id="1128" w:name="_Toc72495583"/>
      <w:bookmarkStart w:id="1129" w:name="_Toc32124"/>
      <w:r>
        <w:rPr>
          <w:rFonts w:hint="eastAsia"/>
          <w:color w:val="auto"/>
          <w:sz w:val="24"/>
          <w:szCs w:val="24"/>
          <w:highlight w:val="none"/>
        </w:rPr>
        <w:t>1</w:t>
      </w:r>
      <w:r>
        <w:rPr>
          <w:color w:val="auto"/>
          <w:sz w:val="24"/>
          <w:szCs w:val="24"/>
          <w:highlight w:val="none"/>
        </w:rPr>
        <w:t>0</w:t>
      </w:r>
      <w:r>
        <w:rPr>
          <w:rFonts w:hint="eastAsia"/>
          <w:color w:val="auto"/>
          <w:sz w:val="24"/>
          <w:szCs w:val="24"/>
          <w:highlight w:val="none"/>
        </w:rPr>
        <w:t>.</w:t>
      </w:r>
      <w:r>
        <w:rPr>
          <w:rFonts w:hint="eastAsia"/>
          <w:color w:val="auto"/>
          <w:sz w:val="24"/>
          <w:szCs w:val="24"/>
          <w:highlight w:val="none"/>
          <w:lang w:val="en-US" w:eastAsia="zh-CN"/>
        </w:rPr>
        <w:t>8</w:t>
      </w:r>
      <w:r>
        <w:rPr>
          <w:rFonts w:hint="eastAsia"/>
          <w:color w:val="auto"/>
          <w:sz w:val="24"/>
          <w:szCs w:val="24"/>
          <w:highlight w:val="none"/>
        </w:rPr>
        <w:t>招标人补充的其他内容</w:t>
      </w:r>
      <w:bookmarkEnd w:id="1111"/>
      <w:bookmarkEnd w:id="1112"/>
      <w:bookmarkEnd w:id="1113"/>
      <w:bookmarkEnd w:id="1114"/>
      <w:bookmarkEnd w:id="1115"/>
      <w:bookmarkEnd w:id="1116"/>
      <w:bookmarkEnd w:id="1117"/>
      <w:bookmarkEnd w:id="1118"/>
      <w:bookmarkEnd w:id="1119"/>
      <w:bookmarkEnd w:id="1128"/>
      <w:bookmarkEnd w:id="1129"/>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招标人补充的其他内容：见投标人须知前附表。</w:t>
      </w:r>
    </w:p>
    <w:p>
      <w:pPr>
        <w:rPr>
          <w:color w:val="auto"/>
          <w:highlight w:val="none"/>
        </w:rPr>
      </w:pPr>
    </w:p>
    <w:p>
      <w:pPr>
        <w:rPr>
          <w:rFonts w:hint="eastAsia"/>
          <w:b w:val="0"/>
          <w:color w:val="auto"/>
          <w:sz w:val="24"/>
          <w:szCs w:val="24"/>
          <w:highlight w:val="none"/>
        </w:rPr>
      </w:pPr>
      <w:bookmarkStart w:id="1130" w:name="_Toc27235"/>
      <w:bookmarkStart w:id="1131" w:name="_Toc1952891012"/>
      <w:r>
        <w:rPr>
          <w:rFonts w:hint="eastAsia"/>
          <w:b w:val="0"/>
          <w:color w:val="auto"/>
          <w:sz w:val="24"/>
          <w:szCs w:val="24"/>
          <w:highlight w:val="none"/>
        </w:rPr>
        <w:br w:type="page"/>
      </w:r>
    </w:p>
    <w:p>
      <w:pPr>
        <w:pStyle w:val="4"/>
        <w:outlineLvl w:val="2"/>
        <w:rPr>
          <w:rFonts w:hint="eastAsia" w:ascii="黑体" w:hAnsi="黑体" w:eastAsia="黑体" w:cs="黑体"/>
          <w:b w:val="0"/>
          <w:bCs/>
          <w:color w:val="auto"/>
          <w:sz w:val="24"/>
          <w:szCs w:val="24"/>
          <w:highlight w:val="none"/>
        </w:rPr>
      </w:pPr>
      <w:bookmarkStart w:id="1132" w:name="_Toc5279"/>
      <w:r>
        <w:rPr>
          <w:rFonts w:hint="eastAsia" w:ascii="黑体" w:hAnsi="黑体" w:eastAsia="黑体" w:cs="黑体"/>
          <w:b w:val="0"/>
          <w:bCs/>
          <w:color w:val="auto"/>
          <w:sz w:val="24"/>
          <w:szCs w:val="24"/>
          <w:highlight w:val="none"/>
        </w:rPr>
        <w:t>附表一：投标确认</w:t>
      </w:r>
      <w:bookmarkEnd w:id="1130"/>
      <w:r>
        <w:rPr>
          <w:rFonts w:hint="eastAsia" w:ascii="黑体" w:hAnsi="黑体" w:eastAsia="黑体" w:cs="黑体"/>
          <w:b w:val="0"/>
          <w:bCs/>
          <w:color w:val="auto"/>
          <w:sz w:val="24"/>
          <w:szCs w:val="24"/>
          <w:highlight w:val="none"/>
        </w:rPr>
        <w:t>书</w:t>
      </w:r>
      <w:bookmarkEnd w:id="1131"/>
      <w:bookmarkEnd w:id="1132"/>
    </w:p>
    <w:p>
      <w:pPr>
        <w:rPr>
          <w:color w:val="auto"/>
          <w:highlight w:val="none"/>
        </w:rPr>
      </w:pPr>
    </w:p>
    <w:p>
      <w:pPr>
        <w:jc w:val="center"/>
        <w:rPr>
          <w:rFonts w:ascii="黑体" w:hAnsi="黑体" w:eastAsia="黑体" w:cs="黑体"/>
          <w:color w:val="auto"/>
          <w:sz w:val="30"/>
          <w:szCs w:val="30"/>
          <w:highlight w:val="none"/>
        </w:rPr>
      </w:pPr>
    </w:p>
    <w:p>
      <w:pPr>
        <w:jc w:val="center"/>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投标确认书</w:t>
      </w:r>
    </w:p>
    <w:p>
      <w:pPr>
        <w:rPr>
          <w:color w:val="auto"/>
          <w:szCs w:val="21"/>
          <w:highlight w:val="none"/>
        </w:rPr>
      </w:pPr>
    </w:p>
    <w:p>
      <w:pPr>
        <w:rPr>
          <w:color w:val="auto"/>
          <w:highlight w:val="none"/>
        </w:rPr>
      </w:pPr>
    </w:p>
    <w:p>
      <w:pPr>
        <w:rPr>
          <w:color w:val="auto"/>
          <w:highlight w:val="none"/>
        </w:rPr>
      </w:pPr>
      <w:r>
        <w:rPr>
          <w:rFonts w:hint="eastAsia"/>
          <w:color w:val="auto"/>
          <w:highlight w:val="none"/>
          <w:u w:val="single"/>
          <w:lang w:val="en-US" w:eastAsia="zh-CN"/>
        </w:rPr>
        <w:t xml:space="preserve">     </w:t>
      </w:r>
      <w:r>
        <w:rPr>
          <w:rFonts w:hint="eastAsia"/>
          <w:color w:val="auto"/>
          <w:highlight w:val="none"/>
          <w:u w:val="none"/>
        </w:rPr>
        <w:t>（招标人名称）</w:t>
      </w:r>
      <w:r>
        <w:rPr>
          <w:rFonts w:hint="eastAsia"/>
          <w:color w:val="auto"/>
          <w:highlight w:val="none"/>
        </w:rPr>
        <w:t>：</w:t>
      </w:r>
    </w:p>
    <w:p>
      <w:pPr>
        <w:rPr>
          <w:color w:val="auto"/>
          <w:highlight w:val="none"/>
        </w:rPr>
      </w:pPr>
    </w:p>
    <w:p>
      <w:pPr>
        <w:spacing w:afterLines="50" w:line="460" w:lineRule="exact"/>
        <w:ind w:firstLine="437"/>
        <w:rPr>
          <w:color w:val="auto"/>
          <w:highlight w:val="none"/>
        </w:rPr>
      </w:pPr>
      <w:r>
        <w:rPr>
          <w:rFonts w:hint="eastAsia"/>
          <w:color w:val="auto"/>
          <w:highlight w:val="none"/>
        </w:rPr>
        <w:t>我方已收到你方发送的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投标邀请书 </w:t>
      </w:r>
      <w:r>
        <w:rPr>
          <w:rFonts w:hint="eastAsia"/>
          <w:color w:val="auto"/>
          <w:highlight w:val="none"/>
        </w:rPr>
        <w:t>，我方将</w:t>
      </w:r>
      <w:r>
        <w:rPr>
          <w:rFonts w:hint="eastAsia"/>
          <w:color w:val="auto"/>
          <w:highlight w:val="none"/>
          <w:u w:val="single"/>
          <w:lang w:val="en-US" w:eastAsia="zh-CN"/>
        </w:rPr>
        <w:t xml:space="preserve">       </w:t>
      </w:r>
      <w:r>
        <w:rPr>
          <w:rFonts w:hint="eastAsia"/>
          <w:color w:val="auto"/>
          <w:highlight w:val="none"/>
        </w:rPr>
        <w:t>（参加/不参加）</w:t>
      </w:r>
      <w:r>
        <w:rPr>
          <w:rFonts w:hint="eastAsia"/>
          <w:color w:val="auto"/>
          <w:highlight w:val="none"/>
          <w:u w:val="single"/>
          <w:lang w:val="en-US" w:eastAsia="zh-CN"/>
        </w:rPr>
        <w:t xml:space="preserve">      </w:t>
      </w:r>
      <w:r>
        <w:rPr>
          <w:rFonts w:hint="eastAsia"/>
          <w:color w:val="auto"/>
          <w:highlight w:val="none"/>
        </w:rPr>
        <w:t xml:space="preserve"> （项目名称）</w:t>
      </w:r>
      <w:r>
        <w:rPr>
          <w:rFonts w:hint="eastAsia"/>
          <w:color w:val="auto"/>
          <w:highlight w:val="none"/>
          <w:u w:val="single"/>
          <w:lang w:val="en-US" w:eastAsia="zh-CN"/>
        </w:rPr>
        <w:t xml:space="preserve">     </w:t>
      </w:r>
      <w:r>
        <w:rPr>
          <w:rFonts w:hint="eastAsia" w:ascii="宋体" w:hAnsi="宋体"/>
          <w:color w:val="auto"/>
          <w:highlight w:val="none"/>
        </w:rPr>
        <w:t>（标段名称）</w:t>
      </w:r>
      <w:r>
        <w:rPr>
          <w:rFonts w:hint="eastAsia"/>
          <w:color w:val="auto"/>
          <w:highlight w:val="none"/>
        </w:rPr>
        <w:t>施工招标的投标。</w:t>
      </w:r>
    </w:p>
    <w:p>
      <w:pPr>
        <w:spacing w:afterLines="50" w:line="460" w:lineRule="exact"/>
        <w:ind w:firstLine="437"/>
        <w:rPr>
          <w:color w:val="auto"/>
          <w:highlight w:val="none"/>
        </w:rPr>
      </w:pPr>
      <w:r>
        <w:rPr>
          <w:rFonts w:hint="eastAsia"/>
          <w:color w:val="auto"/>
          <w:highlight w:val="none"/>
        </w:rPr>
        <w:t>特此确认。</w:t>
      </w:r>
    </w:p>
    <w:p>
      <w:pPr>
        <w:rPr>
          <w:color w:val="auto"/>
          <w:highlight w:val="none"/>
        </w:rPr>
      </w:pPr>
    </w:p>
    <w:p>
      <w:pPr>
        <w:spacing w:line="440" w:lineRule="exact"/>
        <w:rPr>
          <w:color w:val="auto"/>
          <w:szCs w:val="21"/>
          <w:highlight w:val="none"/>
        </w:rPr>
      </w:pPr>
      <w:r>
        <w:rPr>
          <w:rFonts w:hint="eastAsia"/>
          <w:color w:val="auto"/>
          <w:szCs w:val="21"/>
          <w:highlight w:val="none"/>
        </w:rPr>
        <w:t xml:space="preserve">                             </w:t>
      </w:r>
      <w:r>
        <w:rPr>
          <w:rFonts w:hint="eastAsia"/>
          <w:color w:val="auto"/>
          <w:szCs w:val="21"/>
          <w:highlight w:val="none"/>
          <w:lang w:val="en-US" w:eastAsia="zh-CN"/>
        </w:rPr>
        <w:t xml:space="preserve">      </w:t>
      </w:r>
      <w:r>
        <w:rPr>
          <w:rFonts w:hint="eastAsia"/>
          <w:color w:val="auto"/>
          <w:szCs w:val="21"/>
          <w:highlight w:val="none"/>
        </w:rPr>
        <w:t xml:space="preserve">  潜在投标人</w:t>
      </w:r>
      <w:r>
        <w:rPr>
          <w:color w:val="auto"/>
          <w:szCs w:val="21"/>
          <w:highlight w:val="none"/>
        </w:rPr>
        <w:t>：（盖单位章）</w:t>
      </w:r>
    </w:p>
    <w:p>
      <w:pPr>
        <w:spacing w:line="440" w:lineRule="exact"/>
        <w:rPr>
          <w:color w:val="auto"/>
          <w:szCs w:val="21"/>
          <w:highlight w:val="none"/>
        </w:rPr>
      </w:pPr>
      <w:r>
        <w:rPr>
          <w:color w:val="auto"/>
          <w:szCs w:val="21"/>
          <w:highlight w:val="none"/>
        </w:rPr>
        <w:t>　　　　　　　　　　　　　　　　　　　法定代表人：（签字）</w:t>
      </w:r>
    </w:p>
    <w:p>
      <w:pPr>
        <w:spacing w:line="440" w:lineRule="exact"/>
        <w:ind w:firstLine="5040" w:firstLineChars="2400"/>
        <w:rPr>
          <w:color w:val="auto"/>
          <w:szCs w:val="21"/>
          <w:highlight w:val="none"/>
        </w:rPr>
      </w:pP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日</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outlineLvl w:val="9"/>
        <w:rPr>
          <w:color w:val="auto"/>
          <w:highlight w:val="none"/>
        </w:rPr>
      </w:pPr>
    </w:p>
    <w:p>
      <w:pPr>
        <w:pStyle w:val="4"/>
        <w:outlineLvl w:val="2"/>
        <w:rPr>
          <w:rFonts w:hint="eastAsia" w:ascii="黑体" w:hAnsi="黑体" w:eastAsia="黑体" w:cs="黑体"/>
          <w:b w:val="0"/>
          <w:bCs/>
          <w:color w:val="auto"/>
          <w:sz w:val="24"/>
          <w:szCs w:val="24"/>
          <w:highlight w:val="none"/>
        </w:rPr>
      </w:pPr>
      <w:bookmarkStart w:id="1133" w:name="_Toc387753567"/>
      <w:bookmarkStart w:id="1134" w:name="_Toc32197"/>
      <w:bookmarkStart w:id="1135" w:name="_Toc14113"/>
      <w:bookmarkStart w:id="1136" w:name="_Toc9792"/>
      <w:bookmarkStart w:id="1137" w:name="_Toc7227"/>
      <w:bookmarkStart w:id="1138" w:name="_Toc1960072915"/>
      <w:bookmarkStart w:id="1139" w:name="_Toc3321"/>
      <w:bookmarkStart w:id="1140" w:name="_Toc5255"/>
      <w:r>
        <w:rPr>
          <w:rFonts w:hint="eastAsia" w:ascii="黑体" w:hAnsi="黑体" w:eastAsia="黑体" w:cs="黑体"/>
          <w:b w:val="0"/>
          <w:bCs/>
          <w:color w:val="auto"/>
          <w:sz w:val="24"/>
          <w:szCs w:val="24"/>
          <w:highlight w:val="none"/>
        </w:rPr>
        <w:t>附</w:t>
      </w:r>
      <w:bookmarkEnd w:id="1073"/>
      <w:bookmarkEnd w:id="1133"/>
      <w:bookmarkStart w:id="1141" w:name="_Toc221950257"/>
      <w:r>
        <w:rPr>
          <w:rFonts w:hint="eastAsia" w:ascii="黑体" w:hAnsi="黑体" w:eastAsia="黑体" w:cs="黑体"/>
          <w:b w:val="0"/>
          <w:bCs/>
          <w:color w:val="auto"/>
          <w:sz w:val="24"/>
          <w:szCs w:val="24"/>
          <w:highlight w:val="none"/>
        </w:rPr>
        <w:t>表二：招标文件澄清</w:t>
      </w:r>
      <w:bookmarkEnd w:id="1141"/>
      <w:r>
        <w:rPr>
          <w:rFonts w:hint="eastAsia" w:ascii="黑体" w:hAnsi="黑体" w:eastAsia="黑体" w:cs="黑体"/>
          <w:b w:val="0"/>
          <w:bCs/>
          <w:color w:val="auto"/>
          <w:sz w:val="24"/>
          <w:szCs w:val="24"/>
          <w:highlight w:val="none"/>
        </w:rPr>
        <w:t>申请函</w:t>
      </w:r>
      <w:bookmarkEnd w:id="1134"/>
      <w:bookmarkEnd w:id="1135"/>
      <w:bookmarkEnd w:id="1136"/>
      <w:bookmarkEnd w:id="1137"/>
      <w:bookmarkEnd w:id="1138"/>
      <w:bookmarkEnd w:id="1139"/>
      <w:bookmarkEnd w:id="1140"/>
    </w:p>
    <w:p>
      <w:pPr>
        <w:jc w:val="center"/>
        <w:rPr>
          <w:rFonts w:ascii="黑体" w:eastAsia="黑体"/>
          <w:color w:val="auto"/>
          <w:sz w:val="28"/>
          <w:szCs w:val="28"/>
          <w:highlight w:val="none"/>
        </w:rPr>
      </w:pPr>
    </w:p>
    <w:p>
      <w:pPr>
        <w:jc w:val="center"/>
        <w:rPr>
          <w:rFonts w:ascii="黑体" w:eastAsia="黑体"/>
          <w:color w:val="auto"/>
          <w:sz w:val="28"/>
          <w:szCs w:val="28"/>
          <w:highlight w:val="none"/>
        </w:rPr>
      </w:pPr>
    </w:p>
    <w:p>
      <w:pPr>
        <w:jc w:val="center"/>
        <w:rPr>
          <w:color w:val="auto"/>
          <w:highlight w:val="none"/>
        </w:rPr>
      </w:pPr>
      <w:r>
        <w:rPr>
          <w:rFonts w:hint="eastAsia" w:ascii="黑体" w:eastAsia="黑体"/>
          <w:color w:val="auto"/>
          <w:sz w:val="28"/>
          <w:szCs w:val="28"/>
          <w:highlight w:val="none"/>
        </w:rPr>
        <w:t>招标文件澄清申请函</w:t>
      </w:r>
      <w:r>
        <w:rPr>
          <w:rStyle w:val="27"/>
          <w:rFonts w:hint="eastAsia" w:ascii="黑体" w:eastAsia="黑体"/>
          <w:color w:val="auto"/>
          <w:sz w:val="28"/>
          <w:szCs w:val="28"/>
          <w:highlight w:val="none"/>
        </w:rPr>
        <w:footnoteReference w:id="8"/>
      </w:r>
    </w:p>
    <w:p>
      <w:pPr>
        <w:rPr>
          <w:rFonts w:ascii="宋体" w:hAnsi="宋体" w:cs="宋体"/>
          <w:color w:val="auto"/>
          <w:highlight w:val="none"/>
        </w:rPr>
      </w:pPr>
    </w:p>
    <w:p>
      <w:pPr>
        <w:rPr>
          <w:rFonts w:ascii="宋体" w:hAnsi="宋体" w:cs="宋体"/>
          <w:color w:val="auto"/>
          <w:highlight w:val="none"/>
        </w:rPr>
      </w:pPr>
    </w:p>
    <w:p>
      <w:pPr>
        <w:spacing w:line="360" w:lineRule="auto"/>
        <w:ind w:firstLine="420" w:firstLineChars="200"/>
        <w:jc w:val="center"/>
        <w:rPr>
          <w:rFonts w:ascii="宋体" w:hAnsi="宋体" w:cs="宋体"/>
          <w:color w:val="auto"/>
          <w:highlight w:val="none"/>
        </w:rPr>
      </w:pPr>
      <w:bookmarkStart w:id="1142" w:name="_Toc221950258"/>
      <w:r>
        <w:rPr>
          <w:rFonts w:hint="eastAsia" w:ascii="宋体" w:hAnsi="宋体" w:cs="宋体"/>
          <w:color w:val="auto"/>
          <w:highlight w:val="none"/>
        </w:rPr>
        <w:t>编号：</w:t>
      </w:r>
    </w:p>
    <w:p>
      <w:pPr>
        <w:spacing w:line="360" w:lineRule="auto"/>
        <w:ind w:firstLine="420" w:firstLineChars="200"/>
        <w:rPr>
          <w:rFonts w:ascii="宋体" w:hAnsi="宋体" w:cs="宋体"/>
          <w:color w:val="auto"/>
          <w:highlight w:val="none"/>
          <w:u w:val="single"/>
        </w:rPr>
      </w:pPr>
      <w:r>
        <w:rPr>
          <w:rFonts w:hint="eastAsia"/>
          <w:color w:val="auto"/>
          <w:highlight w:val="none"/>
          <w:u w:val="single"/>
          <w:lang w:val="en-US" w:eastAsia="zh-CN"/>
        </w:rPr>
        <w:t xml:space="preserve">     </w:t>
      </w:r>
      <w:r>
        <w:rPr>
          <w:rFonts w:hint="eastAsia" w:ascii="宋体" w:hAnsi="宋体" w:cs="宋体"/>
          <w:color w:val="auto"/>
          <w:highlight w:val="none"/>
          <w:u w:val="none"/>
        </w:rPr>
        <w:t>（招标人名称）</w:t>
      </w:r>
      <w:bookmarkEnd w:id="1142"/>
      <w:r>
        <w:rPr>
          <w:rFonts w:hint="eastAsia" w:ascii="宋体" w:hAnsi="宋体" w:cs="宋体"/>
          <w:color w:val="auto"/>
          <w:highlight w:val="none"/>
        </w:rPr>
        <w:t>：</w:t>
      </w:r>
    </w:p>
    <w:p>
      <w:pPr>
        <w:spacing w:line="360" w:lineRule="auto"/>
        <w:ind w:firstLine="420" w:firstLineChars="200"/>
        <w:rPr>
          <w:rFonts w:ascii="宋体" w:hAnsi="宋体" w:cs="宋体"/>
          <w:color w:val="auto"/>
          <w:highlight w:val="none"/>
        </w:rPr>
      </w:pPr>
      <w:bookmarkStart w:id="1143" w:name="_Toc221950259"/>
      <w:r>
        <w:rPr>
          <w:rFonts w:hint="eastAsia" w:ascii="宋体" w:hAnsi="宋体" w:cs="宋体"/>
          <w:color w:val="auto"/>
          <w:highlight w:val="none"/>
        </w:rPr>
        <w:t>经过仔细阅读</w:t>
      </w:r>
      <w:r>
        <w:rPr>
          <w:rFonts w:hint="eastAsia"/>
          <w:color w:val="auto"/>
          <w:highlight w:val="none"/>
          <w:u w:val="single"/>
          <w:lang w:val="en-US" w:eastAsia="zh-CN"/>
        </w:rPr>
        <w:t xml:space="preserve">     </w:t>
      </w:r>
      <w:r>
        <w:rPr>
          <w:rFonts w:hint="eastAsia" w:ascii="宋体" w:hAnsi="宋体" w:cs="宋体"/>
          <w:color w:val="auto"/>
          <w:highlight w:val="none"/>
        </w:rPr>
        <w:t>（项目名称</w:t>
      </w:r>
      <w:r>
        <w:rPr>
          <w:rFonts w:hint="eastAsia" w:ascii="宋体" w:hAnsi="宋体" w:cs="宋体"/>
          <w:color w:val="auto"/>
          <w:highlight w:val="none"/>
          <w:u w:val="single"/>
        </w:rPr>
        <w:t xml:space="preserve">）        </w:t>
      </w:r>
      <w:r>
        <w:rPr>
          <w:rFonts w:hint="eastAsia" w:ascii="宋体" w:hAnsi="宋体" w:cs="宋体"/>
          <w:color w:val="auto"/>
          <w:highlight w:val="none"/>
        </w:rPr>
        <w:t>（标段名称）招标文件后，我方申请对以下问题予以澄清：</w:t>
      </w:r>
      <w:bookmarkEnd w:id="1143"/>
    </w:p>
    <w:p>
      <w:pPr>
        <w:spacing w:line="360" w:lineRule="auto"/>
        <w:ind w:firstLine="525" w:firstLineChars="250"/>
        <w:rPr>
          <w:rFonts w:ascii="宋体" w:hAnsi="宋体" w:cs="宋体"/>
          <w:color w:val="auto"/>
          <w:highlight w:val="none"/>
        </w:rPr>
      </w:pPr>
      <w:bookmarkStart w:id="1144" w:name="_Toc221950260"/>
      <w:r>
        <w:rPr>
          <w:rFonts w:hint="eastAsia" w:cs="宋体"/>
          <w:color w:val="auto"/>
          <w:highlight w:val="none"/>
        </w:rPr>
        <w:t>1</w:t>
      </w:r>
      <w:r>
        <w:rPr>
          <w:rFonts w:hint="eastAsia" w:ascii="宋体" w:hAnsi="宋体" w:cs="宋体"/>
          <w:color w:val="auto"/>
          <w:highlight w:val="none"/>
        </w:rPr>
        <w:t>、………</w:t>
      </w:r>
      <w:bookmarkEnd w:id="1144"/>
    </w:p>
    <w:p>
      <w:pPr>
        <w:spacing w:line="360" w:lineRule="auto"/>
        <w:ind w:firstLine="525" w:firstLineChars="250"/>
        <w:rPr>
          <w:rFonts w:ascii="宋体" w:hAnsi="宋体" w:cs="宋体"/>
          <w:color w:val="auto"/>
          <w:highlight w:val="none"/>
        </w:rPr>
      </w:pPr>
      <w:bookmarkStart w:id="1145" w:name="_Toc221950261"/>
      <w:r>
        <w:rPr>
          <w:rFonts w:hint="eastAsia" w:cs="宋体"/>
          <w:color w:val="auto"/>
          <w:highlight w:val="none"/>
        </w:rPr>
        <w:t>2</w:t>
      </w:r>
      <w:r>
        <w:rPr>
          <w:rFonts w:hint="eastAsia" w:ascii="宋体" w:hAnsi="宋体" w:cs="宋体"/>
          <w:color w:val="auto"/>
          <w:highlight w:val="none"/>
        </w:rPr>
        <w:t>、………</w:t>
      </w:r>
      <w:bookmarkEnd w:id="1145"/>
    </w:p>
    <w:p>
      <w:pPr>
        <w:spacing w:line="360" w:lineRule="auto"/>
        <w:ind w:firstLine="525" w:firstLineChars="250"/>
        <w:rPr>
          <w:rFonts w:ascii="宋体" w:hAnsi="宋体" w:cs="宋体"/>
          <w:color w:val="auto"/>
          <w:highlight w:val="none"/>
        </w:rPr>
      </w:pPr>
      <w:r>
        <w:rPr>
          <w:rFonts w:hint="eastAsia" w:ascii="宋体" w:hAnsi="宋体" w:cs="宋体"/>
          <w:color w:val="auto"/>
          <w:highlight w:val="none"/>
        </w:rPr>
        <w:t>………</w:t>
      </w:r>
    </w:p>
    <w:p>
      <w:pPr>
        <w:spacing w:line="360" w:lineRule="auto"/>
        <w:ind w:firstLine="2415" w:firstLineChars="1150"/>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jc w:val="right"/>
        <w:rPr>
          <w:rFonts w:ascii="宋体" w:hAnsi="宋体" w:cs="宋体"/>
          <w:color w:val="auto"/>
          <w:highlight w:val="none"/>
        </w:rPr>
      </w:pPr>
      <w:bookmarkStart w:id="1146" w:name="_Toc221950262"/>
      <w:r>
        <w:rPr>
          <w:rFonts w:hint="eastAsia" w:ascii="宋体" w:hAnsi="宋体" w:cs="宋体"/>
          <w:color w:val="auto"/>
          <w:highlight w:val="none"/>
        </w:rPr>
        <w:t>投标人：（盖单位章）</w:t>
      </w:r>
      <w:bookmarkEnd w:id="1146"/>
    </w:p>
    <w:p>
      <w:pPr>
        <w:spacing w:line="360" w:lineRule="auto"/>
        <w:ind w:firstLine="2415" w:firstLineChars="1150"/>
        <w:rPr>
          <w:rFonts w:ascii="宋体" w:hAnsi="宋体" w:cs="宋体"/>
          <w:color w:val="auto"/>
          <w:highlight w:val="none"/>
        </w:rPr>
      </w:pPr>
    </w:p>
    <w:p>
      <w:pPr>
        <w:spacing w:line="360" w:lineRule="auto"/>
        <w:ind w:firstLine="5670" w:firstLineChars="2700"/>
        <w:rPr>
          <w:rFonts w:ascii="宋体" w:hAnsi="宋体" w:cs="宋体"/>
          <w:color w:val="auto"/>
          <w:highlight w:val="none"/>
        </w:rPr>
      </w:pPr>
      <w:bookmarkStart w:id="1147" w:name="_Toc221950263"/>
      <w:r>
        <w:rPr>
          <w:rFonts w:hint="eastAsia" w:ascii="宋体" w:hAnsi="宋体" w:cs="宋体"/>
          <w:color w:val="auto"/>
          <w:highlight w:val="none"/>
        </w:rPr>
        <w:t>年月日</w:t>
      </w:r>
      <w:bookmarkEnd w:id="1147"/>
    </w:p>
    <w:p>
      <w:pPr>
        <w:spacing w:line="360" w:lineRule="auto"/>
        <w:ind w:firstLine="2415" w:firstLineChars="1150"/>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rPr>
          <w:color w:val="auto"/>
          <w:highlight w:val="none"/>
        </w:rPr>
      </w:pPr>
    </w:p>
    <w:p>
      <w:pPr>
        <w:spacing w:line="360" w:lineRule="auto"/>
        <w:rPr>
          <w:rFonts w:ascii="宋体" w:hAnsi="宋体" w:cs="宋体"/>
          <w:color w:val="auto"/>
          <w:highlight w:val="none"/>
        </w:rPr>
      </w:pPr>
      <w:bookmarkStart w:id="1148" w:name="_Toc221950264"/>
      <w:r>
        <w:rPr>
          <w:rFonts w:hint="eastAsia" w:ascii="宋体" w:hAnsi="宋体" w:cs="宋体"/>
          <w:color w:val="auto"/>
          <w:highlight w:val="none"/>
        </w:rPr>
        <w:t>备注:</w:t>
      </w:r>
      <w:bookmarkEnd w:id="1148"/>
      <w:r>
        <w:rPr>
          <w:rFonts w:hint="eastAsia" w:ascii="宋体" w:hAnsi="宋体" w:cs="宋体"/>
          <w:color w:val="auto"/>
          <w:highlight w:val="none"/>
        </w:rPr>
        <w:t>投标人要求招标人澄清招标文件有关问题时，适用于本格式。</w:t>
      </w:r>
    </w:p>
    <w:p>
      <w:pPr>
        <w:spacing w:line="360" w:lineRule="auto"/>
        <w:ind w:firstLine="2415" w:firstLineChars="1150"/>
        <w:outlineLvl w:val="9"/>
        <w:rPr>
          <w:rFonts w:ascii="宋体" w:hAnsi="宋体" w:cs="宋体"/>
          <w:color w:val="auto"/>
          <w:highlight w:val="none"/>
        </w:rPr>
      </w:pPr>
    </w:p>
    <w:p>
      <w:pPr>
        <w:spacing w:line="360" w:lineRule="auto"/>
        <w:ind w:firstLine="2415" w:firstLineChars="1150"/>
        <w:outlineLvl w:val="9"/>
        <w:rPr>
          <w:rFonts w:ascii="宋体" w:hAnsi="宋体" w:cs="宋体"/>
          <w:color w:val="auto"/>
          <w:highlight w:val="none"/>
        </w:rPr>
      </w:pPr>
    </w:p>
    <w:p>
      <w:pPr>
        <w:outlineLvl w:val="9"/>
        <w:rPr>
          <w:rFonts w:ascii="宋体" w:hAnsi="宋体" w:cs="宋体"/>
          <w:color w:val="auto"/>
          <w:highlight w:val="none"/>
        </w:rPr>
      </w:pPr>
    </w:p>
    <w:p>
      <w:pPr>
        <w:rPr>
          <w:rFonts w:hint="eastAsia" w:ascii="黑体" w:hAnsi="黑体" w:eastAsia="黑体" w:cs="黑体"/>
          <w:b w:val="0"/>
          <w:bCs/>
          <w:color w:val="auto"/>
          <w:sz w:val="24"/>
          <w:szCs w:val="24"/>
          <w:highlight w:val="none"/>
        </w:rPr>
      </w:pPr>
      <w:bookmarkStart w:id="1149" w:name="_Toc221950265"/>
      <w:bookmarkStart w:id="1150" w:name="_Toc387753568"/>
      <w:bookmarkStart w:id="1151" w:name="_Toc8275"/>
      <w:bookmarkStart w:id="1152" w:name="_Toc8304"/>
      <w:bookmarkStart w:id="1153" w:name="_Toc2102797774"/>
      <w:bookmarkStart w:id="1154" w:name="_Toc5081"/>
      <w:bookmarkStart w:id="1155" w:name="_Toc1847219576"/>
      <w:bookmarkStart w:id="1156" w:name="_Toc13577"/>
      <w:bookmarkStart w:id="1157" w:name="_Toc5114"/>
      <w:r>
        <w:rPr>
          <w:rFonts w:hint="eastAsia" w:ascii="黑体" w:hAnsi="黑体" w:eastAsia="黑体" w:cs="黑体"/>
          <w:b w:val="0"/>
          <w:bCs/>
          <w:color w:val="auto"/>
          <w:sz w:val="24"/>
          <w:szCs w:val="24"/>
          <w:highlight w:val="none"/>
        </w:rPr>
        <w:br w:type="page"/>
      </w:r>
    </w:p>
    <w:p>
      <w:pPr>
        <w:pStyle w:val="4"/>
        <w:outlineLvl w:val="2"/>
        <w:rPr>
          <w:rFonts w:hint="eastAsia" w:ascii="黑体" w:hAnsi="黑体" w:eastAsia="黑体" w:cs="黑体"/>
          <w:b w:val="0"/>
          <w:bCs/>
          <w:color w:val="auto"/>
          <w:sz w:val="24"/>
          <w:szCs w:val="24"/>
          <w:highlight w:val="none"/>
        </w:rPr>
      </w:pPr>
      <w:bookmarkStart w:id="1158" w:name="_Toc25905"/>
      <w:r>
        <w:rPr>
          <w:rFonts w:hint="eastAsia" w:ascii="黑体" w:hAnsi="黑体" w:eastAsia="黑体" w:cs="黑体"/>
          <w:b w:val="0"/>
          <w:bCs/>
          <w:color w:val="auto"/>
          <w:sz w:val="24"/>
          <w:szCs w:val="24"/>
          <w:highlight w:val="none"/>
        </w:rPr>
        <w:t>附表三：</w:t>
      </w:r>
      <w:bookmarkEnd w:id="1149"/>
      <w:bookmarkEnd w:id="1150"/>
      <w:bookmarkStart w:id="1159" w:name="_Toc221950266"/>
      <w:r>
        <w:rPr>
          <w:rFonts w:hint="eastAsia" w:ascii="黑体" w:hAnsi="黑体" w:eastAsia="黑体" w:cs="黑体"/>
          <w:b w:val="0"/>
          <w:bCs/>
          <w:color w:val="auto"/>
          <w:sz w:val="24"/>
          <w:szCs w:val="24"/>
          <w:highlight w:val="none"/>
        </w:rPr>
        <w:t>招标文件澄清通知</w:t>
      </w:r>
      <w:bookmarkEnd w:id="1151"/>
      <w:bookmarkEnd w:id="1152"/>
      <w:bookmarkEnd w:id="1153"/>
      <w:bookmarkEnd w:id="1154"/>
      <w:bookmarkEnd w:id="1155"/>
      <w:bookmarkEnd w:id="1156"/>
      <w:bookmarkEnd w:id="1157"/>
      <w:bookmarkEnd w:id="1158"/>
      <w:bookmarkEnd w:id="1159"/>
    </w:p>
    <w:p>
      <w:pPr>
        <w:jc w:val="center"/>
        <w:rPr>
          <w:rFonts w:ascii="黑体" w:eastAsia="黑体"/>
          <w:color w:val="auto"/>
          <w:sz w:val="28"/>
          <w:szCs w:val="28"/>
          <w:highlight w:val="none"/>
        </w:rPr>
      </w:pPr>
    </w:p>
    <w:p>
      <w:pPr>
        <w:jc w:val="center"/>
        <w:rPr>
          <w:rFonts w:ascii="黑体" w:eastAsia="黑体"/>
          <w:color w:val="auto"/>
          <w:sz w:val="28"/>
          <w:szCs w:val="28"/>
          <w:highlight w:val="none"/>
        </w:rPr>
      </w:pPr>
    </w:p>
    <w:p>
      <w:pPr>
        <w:jc w:val="center"/>
        <w:rPr>
          <w:color w:val="auto"/>
          <w:highlight w:val="none"/>
        </w:rPr>
      </w:pPr>
      <w:r>
        <w:rPr>
          <w:rFonts w:hint="eastAsia" w:ascii="黑体" w:eastAsia="黑体"/>
          <w:color w:val="auto"/>
          <w:sz w:val="28"/>
          <w:szCs w:val="28"/>
          <w:highlight w:val="none"/>
        </w:rPr>
        <w:t>招标文件澄清通知</w:t>
      </w:r>
      <w:r>
        <w:rPr>
          <w:rStyle w:val="27"/>
          <w:rFonts w:hint="eastAsia" w:ascii="黑体" w:eastAsia="黑体"/>
          <w:color w:val="auto"/>
          <w:sz w:val="28"/>
          <w:szCs w:val="28"/>
          <w:highlight w:val="none"/>
        </w:rPr>
        <w:footnoteReference w:id="9"/>
      </w:r>
    </w:p>
    <w:p>
      <w:pPr>
        <w:rPr>
          <w:rFonts w:ascii="宋体" w:hAnsi="宋体" w:cs="宋体"/>
          <w:color w:val="auto"/>
          <w:highlight w:val="none"/>
        </w:rPr>
      </w:pPr>
    </w:p>
    <w:p>
      <w:pPr>
        <w:spacing w:line="360" w:lineRule="auto"/>
        <w:ind w:firstLine="3360" w:firstLineChars="1600"/>
        <w:rPr>
          <w:rFonts w:ascii="宋体" w:hAnsi="宋体" w:cs="宋体"/>
          <w:color w:val="auto"/>
          <w:highlight w:val="none"/>
        </w:rPr>
      </w:pPr>
      <w:bookmarkStart w:id="1160" w:name="_Toc221950267"/>
      <w:r>
        <w:rPr>
          <w:rFonts w:hint="eastAsia" w:ascii="宋体" w:hAnsi="宋体" w:cs="宋体"/>
          <w:color w:val="auto"/>
          <w:highlight w:val="none"/>
        </w:rPr>
        <w:t>编号：</w:t>
      </w:r>
      <w:bookmarkEnd w:id="1160"/>
    </w:p>
    <w:p>
      <w:pPr>
        <w:spacing w:line="360" w:lineRule="auto"/>
        <w:rPr>
          <w:rFonts w:ascii="宋体" w:hAnsi="宋体" w:cs="宋体"/>
          <w:color w:val="auto"/>
          <w:highlight w:val="none"/>
          <w:u w:val="single"/>
        </w:rPr>
      </w:pPr>
      <w:bookmarkStart w:id="1161" w:name="_Toc221950268"/>
      <w:r>
        <w:rPr>
          <w:rFonts w:hint="eastAsia" w:ascii="宋体" w:hAnsi="宋体" w:cs="宋体"/>
          <w:color w:val="auto"/>
          <w:highlight w:val="none"/>
          <w:u w:val="single"/>
        </w:rPr>
        <w:t xml:space="preserve">          （</w:t>
      </w:r>
      <w:r>
        <w:rPr>
          <w:rFonts w:hint="eastAsia" w:ascii="宋体" w:hAnsi="宋体" w:cs="宋体"/>
          <w:color w:val="auto"/>
          <w:highlight w:val="none"/>
        </w:rPr>
        <w:t>投标人名称）</w:t>
      </w:r>
      <w:bookmarkEnd w:id="1161"/>
      <w:r>
        <w:rPr>
          <w:rFonts w:hint="eastAsia" w:ascii="宋体" w:hAnsi="宋体" w:cs="宋体"/>
          <w:color w:val="auto"/>
          <w:highlight w:val="none"/>
        </w:rPr>
        <w:t>：</w:t>
      </w:r>
    </w:p>
    <w:p>
      <w:pPr>
        <w:spacing w:line="360" w:lineRule="auto"/>
        <w:ind w:firstLine="525" w:firstLineChars="250"/>
        <w:rPr>
          <w:rFonts w:ascii="宋体" w:hAnsi="宋体" w:cs="宋体"/>
          <w:color w:val="auto"/>
          <w:highlight w:val="none"/>
        </w:rPr>
      </w:pPr>
      <w:bookmarkStart w:id="1162" w:name="_Toc221950269"/>
      <w:r>
        <w:rPr>
          <w:rFonts w:hint="eastAsia" w:ascii="宋体" w:hAnsi="宋体" w:cs="宋体"/>
          <w:color w:val="auto"/>
          <w:highlight w:val="none"/>
        </w:rPr>
        <w:t xml:space="preserve">经研究，对 </w:t>
      </w:r>
      <w:r>
        <w:rPr>
          <w:rFonts w:hint="eastAsia"/>
          <w:color w:val="auto"/>
          <w:highlight w:val="none"/>
          <w:u w:val="single"/>
          <w:lang w:val="en-US" w:eastAsia="zh-CN"/>
        </w:rPr>
        <w:t xml:space="preserve">     </w:t>
      </w:r>
      <w:r>
        <w:rPr>
          <w:rFonts w:hint="eastAsia" w:ascii="宋体" w:hAnsi="宋体" w:cs="宋体"/>
          <w:color w:val="auto"/>
          <w:highlight w:val="none"/>
        </w:rPr>
        <w:t>（项目名称</w:t>
      </w:r>
      <w:r>
        <w:rPr>
          <w:rFonts w:hint="eastAsia" w:ascii="宋体" w:hAnsi="宋体" w:cs="宋体"/>
          <w:color w:val="auto"/>
          <w:highlight w:val="none"/>
          <w:u w:val="single"/>
        </w:rPr>
        <w:t xml:space="preserve">）         </w:t>
      </w:r>
      <w:r>
        <w:rPr>
          <w:rFonts w:hint="eastAsia" w:ascii="宋体" w:hAnsi="宋体" w:cs="宋体"/>
          <w:color w:val="auto"/>
          <w:highlight w:val="none"/>
        </w:rPr>
        <w:t>（标段名称）招标文件，作如下澄清：</w:t>
      </w:r>
      <w:bookmarkEnd w:id="1162"/>
    </w:p>
    <w:p>
      <w:pPr>
        <w:spacing w:line="360" w:lineRule="auto"/>
        <w:ind w:firstLine="525" w:firstLineChars="250"/>
        <w:rPr>
          <w:rFonts w:ascii="宋体" w:hAnsi="宋体" w:cs="宋体"/>
          <w:color w:val="auto"/>
          <w:highlight w:val="none"/>
        </w:rPr>
      </w:pPr>
      <w:bookmarkStart w:id="1163" w:name="_Toc221950270"/>
      <w:r>
        <w:rPr>
          <w:rFonts w:hint="eastAsia" w:cs="宋体"/>
          <w:color w:val="auto"/>
          <w:highlight w:val="none"/>
        </w:rPr>
        <w:t>1</w:t>
      </w:r>
      <w:r>
        <w:rPr>
          <w:rFonts w:hint="eastAsia" w:ascii="宋体" w:hAnsi="宋体" w:cs="宋体"/>
          <w:color w:val="auto"/>
          <w:highlight w:val="none"/>
        </w:rPr>
        <w:t>、………</w:t>
      </w:r>
      <w:bookmarkEnd w:id="1163"/>
    </w:p>
    <w:p>
      <w:pPr>
        <w:spacing w:line="360" w:lineRule="auto"/>
        <w:ind w:firstLine="525" w:firstLineChars="250"/>
        <w:rPr>
          <w:rFonts w:ascii="宋体" w:hAnsi="宋体" w:cs="宋体"/>
          <w:color w:val="auto"/>
          <w:highlight w:val="none"/>
        </w:rPr>
      </w:pPr>
      <w:bookmarkStart w:id="1164" w:name="_Toc221950271"/>
      <w:r>
        <w:rPr>
          <w:rFonts w:hint="eastAsia" w:cs="宋体"/>
          <w:color w:val="auto"/>
          <w:highlight w:val="none"/>
        </w:rPr>
        <w:t>2</w:t>
      </w:r>
      <w:r>
        <w:rPr>
          <w:rFonts w:hint="eastAsia" w:ascii="宋体" w:hAnsi="宋体" w:cs="宋体"/>
          <w:color w:val="auto"/>
          <w:highlight w:val="none"/>
        </w:rPr>
        <w:t>、………</w:t>
      </w:r>
      <w:bookmarkEnd w:id="1164"/>
    </w:p>
    <w:p>
      <w:pPr>
        <w:spacing w:line="360" w:lineRule="auto"/>
        <w:ind w:firstLine="525" w:firstLineChars="250"/>
        <w:rPr>
          <w:rFonts w:ascii="宋体" w:hAnsi="宋体" w:cs="宋体"/>
          <w:color w:val="auto"/>
          <w:highlight w:val="none"/>
        </w:rPr>
      </w:pPr>
      <w:r>
        <w:rPr>
          <w:rFonts w:hint="eastAsia" w:ascii="宋体" w:hAnsi="宋体" w:cs="宋体"/>
          <w:color w:val="auto"/>
          <w:highlight w:val="none"/>
        </w:rPr>
        <w:t>………</w:t>
      </w: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jc w:val="right"/>
        <w:rPr>
          <w:rFonts w:ascii="宋体" w:hAnsi="宋体" w:cs="宋体"/>
          <w:color w:val="auto"/>
          <w:highlight w:val="none"/>
          <w:u w:val="single"/>
        </w:rPr>
      </w:pPr>
      <w:bookmarkStart w:id="1165" w:name="_Toc221950273"/>
      <w:r>
        <w:rPr>
          <w:rFonts w:hint="eastAsia" w:ascii="宋体" w:hAnsi="宋体" w:cs="宋体"/>
          <w:color w:val="auto"/>
          <w:highlight w:val="none"/>
        </w:rPr>
        <w:t>招标人：（盖单位章）</w:t>
      </w:r>
      <w:bookmarkEnd w:id="1165"/>
    </w:p>
    <w:p>
      <w:pPr>
        <w:spacing w:line="360" w:lineRule="auto"/>
        <w:ind w:firstLine="2415" w:firstLineChars="1150"/>
        <w:jc w:val="right"/>
        <w:rPr>
          <w:rFonts w:ascii="宋体" w:hAnsi="宋体" w:cs="宋体"/>
          <w:color w:val="auto"/>
          <w:highlight w:val="none"/>
        </w:rPr>
      </w:pPr>
    </w:p>
    <w:p>
      <w:pPr>
        <w:spacing w:line="360" w:lineRule="auto"/>
        <w:ind w:firstLine="4095" w:firstLineChars="1950"/>
        <w:jc w:val="right"/>
        <w:rPr>
          <w:rFonts w:ascii="宋体" w:hAnsi="宋体" w:cs="宋体"/>
          <w:color w:val="auto"/>
          <w:highlight w:val="none"/>
        </w:rPr>
      </w:pPr>
      <w:bookmarkStart w:id="1166" w:name="_Toc221950274"/>
      <w:r>
        <w:rPr>
          <w:rFonts w:hint="eastAsia" w:ascii="宋体" w:hAnsi="宋体" w:cs="宋体"/>
          <w:color w:val="auto"/>
          <w:highlight w:val="none"/>
        </w:rPr>
        <w:t>年  月日</w:t>
      </w:r>
      <w:bookmarkEnd w:id="1166"/>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rPr>
          <w:rFonts w:ascii="宋体" w:hAnsi="宋体" w:cs="宋体"/>
          <w:color w:val="auto"/>
          <w:highlight w:val="none"/>
        </w:rPr>
      </w:pPr>
      <w:bookmarkStart w:id="1167" w:name="_Toc221950275"/>
    </w:p>
    <w:p>
      <w:pPr>
        <w:spacing w:line="360" w:lineRule="auto"/>
        <w:rPr>
          <w:rFonts w:ascii="宋体" w:hAnsi="宋体" w:cs="宋体"/>
          <w:color w:val="auto"/>
          <w:highlight w:val="none"/>
        </w:rPr>
      </w:pPr>
    </w:p>
    <w:p>
      <w:pPr>
        <w:spacing w:line="360" w:lineRule="auto"/>
        <w:ind w:left="525" w:hanging="525" w:hangingChars="250"/>
        <w:rPr>
          <w:rFonts w:ascii="宋体" w:hAnsi="宋体" w:cs="宋体"/>
          <w:color w:val="auto"/>
          <w:highlight w:val="none"/>
        </w:rPr>
      </w:pPr>
      <w:r>
        <w:rPr>
          <w:rFonts w:hint="eastAsia" w:ascii="宋体" w:hAnsi="宋体" w:cs="宋体"/>
          <w:color w:val="auto"/>
          <w:highlight w:val="none"/>
        </w:rPr>
        <w:t>备注:</w:t>
      </w:r>
      <w:bookmarkEnd w:id="1167"/>
      <w:r>
        <w:rPr>
          <w:rFonts w:hint="eastAsia" w:ascii="宋体" w:hAnsi="宋体" w:cs="宋体"/>
          <w:color w:val="auto"/>
          <w:highlight w:val="none"/>
        </w:rPr>
        <w:t>招标人对招标文件有关问题澄清时，适用于本格式。招标人可根据需要将附件三与附件四内容合并发出。</w:t>
      </w: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pStyle w:val="30"/>
        <w:outlineLvl w:val="9"/>
        <w:rPr>
          <w:color w:val="auto"/>
          <w:highlight w:val="none"/>
        </w:rPr>
      </w:pPr>
    </w:p>
    <w:p>
      <w:pPr>
        <w:pStyle w:val="4"/>
        <w:outlineLvl w:val="2"/>
        <w:rPr>
          <w:rFonts w:hint="eastAsia" w:ascii="黑体" w:hAnsi="黑体" w:eastAsia="黑体" w:cs="黑体"/>
          <w:b w:val="0"/>
          <w:bCs/>
          <w:color w:val="auto"/>
          <w:sz w:val="24"/>
          <w:szCs w:val="24"/>
          <w:highlight w:val="none"/>
        </w:rPr>
      </w:pPr>
      <w:bookmarkStart w:id="1168" w:name="_Toc221950276"/>
      <w:bookmarkStart w:id="1169" w:name="_Toc387753569"/>
      <w:bookmarkStart w:id="1170" w:name="_Toc601"/>
      <w:bookmarkStart w:id="1171" w:name="_Toc8724"/>
      <w:bookmarkStart w:id="1172" w:name="_Toc1748086507"/>
      <w:bookmarkStart w:id="1173" w:name="_Toc30112"/>
      <w:bookmarkStart w:id="1174" w:name="_Toc4049"/>
      <w:bookmarkStart w:id="1175" w:name="_Toc16618"/>
      <w:bookmarkStart w:id="1176" w:name="_Toc622483252"/>
      <w:bookmarkStart w:id="1177" w:name="_Toc2716"/>
      <w:r>
        <w:rPr>
          <w:rFonts w:hint="eastAsia" w:ascii="黑体" w:hAnsi="黑体" w:eastAsia="黑体" w:cs="黑体"/>
          <w:b w:val="0"/>
          <w:bCs/>
          <w:color w:val="auto"/>
          <w:sz w:val="24"/>
          <w:szCs w:val="24"/>
          <w:highlight w:val="none"/>
        </w:rPr>
        <w:t>附表四：</w:t>
      </w:r>
      <w:bookmarkEnd w:id="1168"/>
      <w:bookmarkEnd w:id="1169"/>
      <w:r>
        <w:rPr>
          <w:rFonts w:hint="eastAsia" w:ascii="黑体" w:hAnsi="黑体" w:eastAsia="黑体" w:cs="黑体"/>
          <w:b w:val="0"/>
          <w:bCs/>
          <w:color w:val="auto"/>
          <w:sz w:val="24"/>
          <w:szCs w:val="24"/>
          <w:highlight w:val="none"/>
        </w:rPr>
        <w:t>招标文件修改通知</w:t>
      </w:r>
      <w:bookmarkEnd w:id="1170"/>
      <w:bookmarkEnd w:id="1171"/>
      <w:bookmarkEnd w:id="1172"/>
      <w:bookmarkEnd w:id="1173"/>
      <w:bookmarkEnd w:id="1174"/>
      <w:bookmarkEnd w:id="1175"/>
      <w:bookmarkEnd w:id="1176"/>
      <w:bookmarkEnd w:id="1177"/>
    </w:p>
    <w:p>
      <w:pPr>
        <w:jc w:val="center"/>
        <w:rPr>
          <w:rFonts w:ascii="黑体" w:eastAsia="黑体"/>
          <w:color w:val="auto"/>
          <w:sz w:val="28"/>
          <w:szCs w:val="28"/>
          <w:highlight w:val="none"/>
        </w:rPr>
      </w:pPr>
    </w:p>
    <w:p>
      <w:pPr>
        <w:jc w:val="center"/>
        <w:rPr>
          <w:rFonts w:ascii="黑体" w:eastAsia="黑体"/>
          <w:color w:val="auto"/>
          <w:sz w:val="28"/>
          <w:szCs w:val="28"/>
          <w:highlight w:val="none"/>
        </w:rPr>
      </w:pPr>
    </w:p>
    <w:p>
      <w:pPr>
        <w:jc w:val="center"/>
        <w:rPr>
          <w:color w:val="auto"/>
          <w:highlight w:val="none"/>
        </w:rPr>
      </w:pPr>
      <w:r>
        <w:rPr>
          <w:rFonts w:hint="eastAsia" w:ascii="黑体" w:eastAsia="黑体"/>
          <w:color w:val="auto"/>
          <w:sz w:val="28"/>
          <w:szCs w:val="28"/>
          <w:highlight w:val="none"/>
        </w:rPr>
        <w:t>招标文件修改通知</w:t>
      </w:r>
      <w:r>
        <w:rPr>
          <w:rStyle w:val="27"/>
          <w:rFonts w:hint="eastAsia" w:ascii="黑体" w:eastAsia="黑体"/>
          <w:color w:val="auto"/>
          <w:sz w:val="28"/>
          <w:szCs w:val="28"/>
          <w:highlight w:val="none"/>
        </w:rPr>
        <w:footnoteReference w:id="10"/>
      </w:r>
    </w:p>
    <w:p>
      <w:pPr>
        <w:rPr>
          <w:rFonts w:ascii="宋体" w:hAnsi="宋体" w:cs="宋体"/>
          <w:color w:val="auto"/>
          <w:highlight w:val="none"/>
        </w:rPr>
      </w:pPr>
    </w:p>
    <w:p>
      <w:pPr>
        <w:spacing w:line="360" w:lineRule="auto"/>
        <w:ind w:firstLine="3360" w:firstLineChars="1600"/>
        <w:rPr>
          <w:rFonts w:ascii="宋体" w:hAnsi="宋体" w:cs="宋体"/>
          <w:color w:val="auto"/>
          <w:highlight w:val="none"/>
        </w:rPr>
      </w:pPr>
      <w:r>
        <w:rPr>
          <w:rFonts w:hint="eastAsia" w:ascii="宋体" w:hAnsi="宋体" w:cs="宋体"/>
          <w:color w:val="auto"/>
          <w:highlight w:val="none"/>
        </w:rPr>
        <w:t>编号：</w:t>
      </w:r>
    </w:p>
    <w:p>
      <w:pPr>
        <w:spacing w:line="360" w:lineRule="auto"/>
        <w:rPr>
          <w:rFonts w:ascii="宋体" w:hAnsi="宋体" w:cs="宋体"/>
          <w:color w:val="auto"/>
          <w:highlight w:val="none"/>
          <w:u w:val="single"/>
        </w:rPr>
      </w:pPr>
      <w:r>
        <w:rPr>
          <w:rFonts w:hint="eastAsia" w:ascii="宋体" w:hAnsi="宋体" w:cs="宋体"/>
          <w:color w:val="auto"/>
          <w:highlight w:val="none"/>
          <w:u w:val="single"/>
        </w:rPr>
        <w:t xml:space="preserve">          （</w:t>
      </w:r>
      <w:r>
        <w:rPr>
          <w:rFonts w:hint="eastAsia" w:ascii="宋体" w:hAnsi="宋体" w:cs="宋体"/>
          <w:color w:val="auto"/>
          <w:highlight w:val="none"/>
        </w:rPr>
        <w:t>投标人名称）：</w:t>
      </w:r>
    </w:p>
    <w:p>
      <w:pPr>
        <w:spacing w:line="360" w:lineRule="auto"/>
        <w:ind w:firstLine="525" w:firstLineChars="250"/>
        <w:rPr>
          <w:rFonts w:ascii="宋体" w:hAnsi="宋体" w:cs="宋体"/>
          <w:color w:val="auto"/>
          <w:highlight w:val="none"/>
        </w:rPr>
      </w:pPr>
      <w:r>
        <w:rPr>
          <w:rFonts w:hint="eastAsia" w:ascii="宋体" w:hAnsi="宋体" w:cs="宋体"/>
          <w:color w:val="auto"/>
          <w:highlight w:val="none"/>
        </w:rPr>
        <w:t xml:space="preserve">经研究，对 </w:t>
      </w:r>
      <w:r>
        <w:rPr>
          <w:rFonts w:hint="eastAsia"/>
          <w:color w:val="auto"/>
          <w:highlight w:val="none"/>
          <w:u w:val="single"/>
          <w:lang w:val="en-US" w:eastAsia="zh-CN"/>
        </w:rPr>
        <w:t xml:space="preserve">     </w:t>
      </w:r>
      <w:r>
        <w:rPr>
          <w:rFonts w:hint="eastAsia" w:ascii="宋体" w:hAnsi="宋体" w:cs="宋体"/>
          <w:color w:val="auto"/>
          <w:highlight w:val="none"/>
        </w:rPr>
        <w:t>（项目名称</w:t>
      </w:r>
      <w:r>
        <w:rPr>
          <w:rFonts w:hint="eastAsia" w:ascii="宋体" w:hAnsi="宋体" w:cs="宋体"/>
          <w:color w:val="auto"/>
          <w:highlight w:val="none"/>
          <w:u w:val="single"/>
        </w:rPr>
        <w:t xml:space="preserve">）         </w:t>
      </w:r>
      <w:r>
        <w:rPr>
          <w:rFonts w:hint="eastAsia" w:ascii="宋体" w:hAnsi="宋体" w:cs="宋体"/>
          <w:color w:val="auto"/>
          <w:highlight w:val="none"/>
        </w:rPr>
        <w:t>（标段名称）招标文件，作如下修改：</w:t>
      </w:r>
    </w:p>
    <w:p>
      <w:pPr>
        <w:spacing w:line="360" w:lineRule="auto"/>
        <w:ind w:firstLine="525" w:firstLineChars="250"/>
        <w:rPr>
          <w:rFonts w:ascii="宋体" w:hAnsi="宋体" w:cs="宋体"/>
          <w:color w:val="auto"/>
          <w:highlight w:val="none"/>
        </w:rPr>
      </w:pPr>
      <w:r>
        <w:rPr>
          <w:rFonts w:hint="eastAsia" w:cs="宋体"/>
          <w:color w:val="auto"/>
          <w:highlight w:val="none"/>
        </w:rPr>
        <w:t>1</w:t>
      </w:r>
      <w:r>
        <w:rPr>
          <w:rFonts w:hint="eastAsia" w:ascii="宋体" w:hAnsi="宋体" w:cs="宋体"/>
          <w:color w:val="auto"/>
          <w:highlight w:val="none"/>
        </w:rPr>
        <w:t>、………</w:t>
      </w:r>
    </w:p>
    <w:p>
      <w:pPr>
        <w:spacing w:line="360" w:lineRule="auto"/>
        <w:ind w:firstLine="525" w:firstLineChars="250"/>
        <w:rPr>
          <w:rFonts w:ascii="宋体" w:hAnsi="宋体" w:cs="宋体"/>
          <w:color w:val="auto"/>
          <w:highlight w:val="none"/>
        </w:rPr>
      </w:pPr>
      <w:r>
        <w:rPr>
          <w:rFonts w:hint="eastAsia" w:cs="宋体"/>
          <w:color w:val="auto"/>
          <w:highlight w:val="none"/>
        </w:rPr>
        <w:t>2</w:t>
      </w:r>
      <w:r>
        <w:rPr>
          <w:rFonts w:hint="eastAsia" w:ascii="宋体" w:hAnsi="宋体" w:cs="宋体"/>
          <w:color w:val="auto"/>
          <w:highlight w:val="none"/>
        </w:rPr>
        <w:t>、………</w:t>
      </w:r>
    </w:p>
    <w:p>
      <w:pPr>
        <w:spacing w:line="360" w:lineRule="auto"/>
        <w:ind w:firstLine="525" w:firstLineChars="250"/>
        <w:rPr>
          <w:rFonts w:ascii="宋体" w:hAnsi="宋体" w:cs="宋体"/>
          <w:color w:val="auto"/>
          <w:highlight w:val="none"/>
        </w:rPr>
      </w:pPr>
      <w:r>
        <w:rPr>
          <w:rFonts w:hint="eastAsia" w:ascii="宋体" w:hAnsi="宋体" w:cs="宋体"/>
          <w:color w:val="auto"/>
          <w:highlight w:val="none"/>
        </w:rPr>
        <w:t>………</w:t>
      </w: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rPr>
          <w:rFonts w:ascii="宋体" w:hAnsi="宋体" w:cs="宋体"/>
          <w:color w:val="auto"/>
          <w:highlight w:val="none"/>
        </w:rPr>
      </w:pPr>
    </w:p>
    <w:p>
      <w:pPr>
        <w:spacing w:line="360" w:lineRule="auto"/>
        <w:ind w:firstLine="2415" w:firstLineChars="1150"/>
        <w:jc w:val="right"/>
        <w:rPr>
          <w:rFonts w:ascii="宋体" w:hAnsi="宋体" w:cs="宋体"/>
          <w:color w:val="auto"/>
          <w:highlight w:val="none"/>
          <w:u w:val="single"/>
        </w:rPr>
      </w:pPr>
      <w:r>
        <w:rPr>
          <w:rFonts w:hint="eastAsia" w:ascii="宋体" w:hAnsi="宋体" w:cs="宋体"/>
          <w:color w:val="auto"/>
          <w:highlight w:val="none"/>
        </w:rPr>
        <w:t>招标人：（盖单位章）</w:t>
      </w:r>
    </w:p>
    <w:p>
      <w:pPr>
        <w:spacing w:line="360" w:lineRule="auto"/>
        <w:ind w:firstLine="2415" w:firstLineChars="1150"/>
        <w:jc w:val="right"/>
        <w:rPr>
          <w:rFonts w:ascii="宋体" w:hAnsi="宋体" w:cs="宋体"/>
          <w:color w:val="auto"/>
          <w:highlight w:val="none"/>
        </w:rPr>
      </w:pPr>
    </w:p>
    <w:p>
      <w:pPr>
        <w:spacing w:line="360" w:lineRule="auto"/>
        <w:ind w:firstLine="4095" w:firstLineChars="1950"/>
        <w:jc w:val="right"/>
        <w:rPr>
          <w:rFonts w:ascii="宋体" w:hAnsi="宋体" w:cs="宋体"/>
          <w:color w:val="auto"/>
          <w:highlight w:val="none"/>
        </w:rPr>
      </w:pPr>
      <w:r>
        <w:rPr>
          <w:rFonts w:hint="eastAsia" w:ascii="宋体" w:hAnsi="宋体" w:cs="宋体"/>
          <w:color w:val="auto"/>
          <w:highlight w:val="none"/>
        </w:rPr>
        <w:t>年  月日</w:t>
      </w:r>
    </w:p>
    <w:p>
      <w:pPr>
        <w:spacing w:line="360" w:lineRule="auto"/>
        <w:ind w:firstLine="2415" w:firstLineChars="1150"/>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rPr>
          <w:color w:val="auto"/>
          <w:highlight w:val="none"/>
        </w:rPr>
      </w:pPr>
    </w:p>
    <w:p>
      <w:pPr>
        <w:spacing w:line="360" w:lineRule="auto"/>
        <w:rPr>
          <w:rFonts w:ascii="宋体" w:hAnsi="宋体" w:cs="宋体"/>
          <w:color w:val="auto"/>
          <w:highlight w:val="none"/>
        </w:rPr>
      </w:pPr>
      <w:r>
        <w:rPr>
          <w:rFonts w:hint="eastAsia" w:ascii="宋体" w:hAnsi="宋体" w:cs="宋体"/>
          <w:color w:val="auto"/>
          <w:highlight w:val="none"/>
        </w:rPr>
        <w:t>备注:招标人对招标文件修改时，适用于本格式。</w:t>
      </w:r>
    </w:p>
    <w:p>
      <w:pPr>
        <w:pStyle w:val="30"/>
        <w:outlineLvl w:val="9"/>
        <w:rPr>
          <w:color w:val="auto"/>
          <w:highlight w:val="none"/>
        </w:rPr>
      </w:pPr>
    </w:p>
    <w:p>
      <w:pPr>
        <w:rPr>
          <w:rFonts w:hint="eastAsia" w:ascii="黑体" w:hAnsi="黑体" w:eastAsia="黑体" w:cs="黑体"/>
          <w:b w:val="0"/>
          <w:bCs/>
          <w:color w:val="auto"/>
          <w:sz w:val="24"/>
          <w:szCs w:val="24"/>
          <w:highlight w:val="none"/>
        </w:rPr>
      </w:pPr>
      <w:bookmarkStart w:id="1178" w:name="_Toc221950298"/>
      <w:bookmarkStart w:id="1179" w:name="_Toc387753570"/>
      <w:bookmarkStart w:id="1180" w:name="_Toc17636"/>
      <w:bookmarkStart w:id="1181" w:name="_Toc24193"/>
      <w:bookmarkStart w:id="1182" w:name="_Toc32481"/>
      <w:bookmarkStart w:id="1183" w:name="_Toc6876"/>
      <w:bookmarkStart w:id="1184" w:name="_Toc7572"/>
      <w:bookmarkStart w:id="1185" w:name="_Toc106533956"/>
      <w:bookmarkStart w:id="1186" w:name="_Toc460820491"/>
      <w:r>
        <w:rPr>
          <w:rFonts w:hint="eastAsia" w:ascii="黑体" w:hAnsi="黑体" w:eastAsia="黑体" w:cs="黑体"/>
          <w:b w:val="0"/>
          <w:bCs/>
          <w:color w:val="auto"/>
          <w:sz w:val="24"/>
          <w:szCs w:val="24"/>
          <w:highlight w:val="none"/>
        </w:rPr>
        <w:br w:type="page"/>
      </w:r>
    </w:p>
    <w:p>
      <w:pPr>
        <w:pStyle w:val="4"/>
        <w:outlineLvl w:val="2"/>
        <w:rPr>
          <w:rFonts w:hint="eastAsia" w:ascii="黑体" w:hAnsi="黑体" w:eastAsia="黑体" w:cs="黑体"/>
          <w:b w:val="0"/>
          <w:bCs/>
          <w:color w:val="auto"/>
          <w:sz w:val="24"/>
          <w:szCs w:val="24"/>
          <w:highlight w:val="none"/>
        </w:rPr>
      </w:pPr>
      <w:bookmarkStart w:id="1187" w:name="_Toc16059"/>
      <w:r>
        <w:rPr>
          <w:rFonts w:hint="eastAsia" w:ascii="黑体" w:hAnsi="黑体" w:eastAsia="黑体" w:cs="黑体"/>
          <w:b w:val="0"/>
          <w:bCs/>
          <w:color w:val="auto"/>
          <w:sz w:val="24"/>
          <w:szCs w:val="24"/>
          <w:highlight w:val="none"/>
        </w:rPr>
        <w:t>附表五：</w:t>
      </w:r>
      <w:bookmarkEnd w:id="1074"/>
      <w:bookmarkEnd w:id="1075"/>
      <w:bookmarkEnd w:id="1076"/>
      <w:bookmarkEnd w:id="1178"/>
      <w:bookmarkEnd w:id="1179"/>
      <w:r>
        <w:rPr>
          <w:rFonts w:hint="eastAsia" w:ascii="黑体" w:hAnsi="黑体" w:eastAsia="黑体" w:cs="黑体"/>
          <w:b w:val="0"/>
          <w:bCs/>
          <w:color w:val="auto"/>
          <w:sz w:val="24"/>
          <w:szCs w:val="24"/>
          <w:highlight w:val="none"/>
        </w:rPr>
        <w:t>投标文件递交签收凭证</w:t>
      </w:r>
      <w:bookmarkEnd w:id="1180"/>
      <w:bookmarkEnd w:id="1181"/>
      <w:bookmarkEnd w:id="1182"/>
      <w:bookmarkEnd w:id="1183"/>
      <w:bookmarkEnd w:id="1184"/>
      <w:bookmarkEnd w:id="1185"/>
      <w:bookmarkEnd w:id="1186"/>
      <w:bookmarkEnd w:id="1187"/>
    </w:p>
    <w:p>
      <w:pPr>
        <w:spacing w:beforeLines="100" w:afterLines="100" w:line="480" w:lineRule="exact"/>
        <w:jc w:val="center"/>
        <w:rPr>
          <w:rFonts w:ascii="黑体" w:eastAsia="黑体"/>
          <w:color w:val="auto"/>
          <w:sz w:val="28"/>
          <w:szCs w:val="28"/>
          <w:highlight w:val="none"/>
        </w:rPr>
      </w:pPr>
      <w:r>
        <w:rPr>
          <w:rFonts w:hint="eastAsia" w:ascii="黑体" w:eastAsia="黑体"/>
          <w:color w:val="auto"/>
          <w:sz w:val="28"/>
          <w:szCs w:val="28"/>
          <w:highlight w:val="none"/>
        </w:rPr>
        <w:t>投标文件递交签收凭证</w:t>
      </w:r>
      <w:r>
        <w:rPr>
          <w:rStyle w:val="27"/>
          <w:rFonts w:hint="eastAsia" w:ascii="黑体" w:eastAsia="黑体"/>
          <w:color w:val="auto"/>
          <w:sz w:val="28"/>
          <w:szCs w:val="28"/>
          <w:highlight w:val="none"/>
        </w:rPr>
        <w:footnoteReference w:id="11"/>
      </w:r>
    </w:p>
    <w:p>
      <w:pPr>
        <w:rPr>
          <w:rFonts w:ascii="宋体" w:hAnsi="宋体" w:cs="宋体"/>
          <w:color w:val="auto"/>
          <w:kern w:val="0"/>
          <w:szCs w:val="21"/>
          <w:highlight w:val="none"/>
        </w:rPr>
      </w:pPr>
    </w:p>
    <w:p>
      <w:pPr>
        <w:ind w:firstLine="6405" w:firstLineChars="3050"/>
        <w:rPr>
          <w:rFonts w:ascii="宋体" w:hAnsi="宋体"/>
          <w:color w:val="auto"/>
          <w:sz w:val="28"/>
          <w:szCs w:val="28"/>
          <w:highlight w:val="none"/>
        </w:rPr>
      </w:pPr>
      <w:r>
        <w:rPr>
          <w:rFonts w:hint="eastAsia" w:ascii="宋体" w:hAnsi="宋体"/>
          <w:color w:val="auto"/>
          <w:highlight w:val="none"/>
        </w:rPr>
        <w:t>编号：</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6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130" w:type="dxa"/>
            <w:vAlign w:val="center"/>
          </w:tcPr>
          <w:p>
            <w:pPr>
              <w:jc w:val="center"/>
              <w:rPr>
                <w:rFonts w:ascii="宋体" w:hAnsi="宋体"/>
                <w:color w:val="auto"/>
                <w:highlight w:val="none"/>
              </w:rPr>
            </w:pPr>
            <w:r>
              <w:rPr>
                <w:rFonts w:hint="eastAsia" w:ascii="宋体" w:hAnsi="宋体"/>
                <w:color w:val="auto"/>
                <w:highlight w:val="none"/>
              </w:rPr>
              <w:t>工程名称</w:t>
            </w:r>
          </w:p>
        </w:tc>
        <w:tc>
          <w:tcPr>
            <w:tcW w:w="6392" w:type="dxa"/>
            <w:vAlign w:val="center"/>
          </w:tcPr>
          <w:p>
            <w:pPr>
              <w:rPr>
                <w:rFonts w:ascii="宋体" w:hAnsi="宋体"/>
                <w:color w:val="auto"/>
                <w:highlight w:val="none"/>
              </w:rPr>
            </w:pPr>
            <w:r>
              <w:rPr>
                <w:rFonts w:hint="eastAsia" w:ascii="宋体" w:hAnsi="宋体"/>
                <w:color w:val="auto"/>
                <w:highlight w:val="none"/>
              </w:rPr>
              <w:t xml:space="preserve"> （项目名称）</w:t>
            </w:r>
            <w:r>
              <w:rPr>
                <w:rFonts w:hint="eastAsia"/>
                <w:color w:val="auto"/>
                <w:highlight w:val="none"/>
              </w:rPr>
              <w:t>（标段名称）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130" w:type="dxa"/>
            <w:vAlign w:val="center"/>
          </w:tcPr>
          <w:p>
            <w:pPr>
              <w:jc w:val="center"/>
              <w:rPr>
                <w:rFonts w:ascii="宋体" w:hAnsi="宋体"/>
                <w:color w:val="auto"/>
                <w:highlight w:val="none"/>
              </w:rPr>
            </w:pPr>
            <w:r>
              <w:rPr>
                <w:rFonts w:hint="eastAsia" w:ascii="宋体" w:hAnsi="宋体"/>
                <w:color w:val="auto"/>
                <w:highlight w:val="none"/>
              </w:rPr>
              <w:t>招标人</w:t>
            </w:r>
          </w:p>
        </w:tc>
        <w:tc>
          <w:tcPr>
            <w:tcW w:w="6392" w:type="dxa"/>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130" w:type="dxa"/>
            <w:vAlign w:val="center"/>
          </w:tcPr>
          <w:p>
            <w:pPr>
              <w:jc w:val="center"/>
              <w:rPr>
                <w:rFonts w:ascii="宋体" w:hAnsi="宋体"/>
                <w:color w:val="auto"/>
                <w:highlight w:val="none"/>
              </w:rPr>
            </w:pPr>
            <w:r>
              <w:rPr>
                <w:rFonts w:hint="eastAsia" w:ascii="宋体" w:hAnsi="宋体"/>
                <w:color w:val="auto"/>
                <w:highlight w:val="none"/>
              </w:rPr>
              <w:t>招标代理机构</w:t>
            </w:r>
          </w:p>
        </w:tc>
        <w:tc>
          <w:tcPr>
            <w:tcW w:w="6392" w:type="dxa"/>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130" w:type="dxa"/>
            <w:vAlign w:val="center"/>
          </w:tcPr>
          <w:p>
            <w:pPr>
              <w:jc w:val="center"/>
              <w:rPr>
                <w:rFonts w:ascii="宋体" w:hAnsi="宋体"/>
                <w:color w:val="auto"/>
                <w:highlight w:val="none"/>
              </w:rPr>
            </w:pPr>
            <w:r>
              <w:rPr>
                <w:rFonts w:hint="eastAsia" w:ascii="宋体" w:hAnsi="宋体"/>
                <w:color w:val="auto"/>
                <w:highlight w:val="none"/>
              </w:rPr>
              <w:t>投标人</w:t>
            </w:r>
          </w:p>
        </w:tc>
        <w:tc>
          <w:tcPr>
            <w:tcW w:w="6392" w:type="dxa"/>
            <w:vAlign w:val="center"/>
          </w:tcPr>
          <w:p>
            <w:pPr>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130" w:type="dxa"/>
            <w:vAlign w:val="center"/>
          </w:tcPr>
          <w:p>
            <w:pPr>
              <w:jc w:val="center"/>
              <w:rPr>
                <w:rFonts w:ascii="宋体" w:hAnsi="宋体"/>
                <w:color w:val="auto"/>
                <w:highlight w:val="none"/>
              </w:rPr>
            </w:pPr>
            <w:r>
              <w:rPr>
                <w:rFonts w:hint="eastAsia" w:ascii="宋体" w:hAnsi="宋体"/>
                <w:color w:val="auto"/>
                <w:highlight w:val="none"/>
              </w:rPr>
              <w:t>投标文件递交时间</w:t>
            </w:r>
          </w:p>
        </w:tc>
        <w:tc>
          <w:tcPr>
            <w:tcW w:w="6392" w:type="dxa"/>
            <w:vAlign w:val="center"/>
          </w:tcPr>
          <w:p>
            <w:pPr>
              <w:rPr>
                <w:rFonts w:ascii="宋体" w:hAnsi="宋体"/>
                <w:color w:val="auto"/>
                <w:highlight w:val="none"/>
              </w:rPr>
            </w:pPr>
            <w:r>
              <w:rPr>
                <w:rFonts w:hint="eastAsia" w:ascii="宋体" w:hAnsi="宋体"/>
                <w:color w:val="auto"/>
                <w:highlight w:val="none"/>
              </w:rPr>
              <w:t>年月日时分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130" w:type="dxa"/>
            <w:vAlign w:val="center"/>
          </w:tcPr>
          <w:p>
            <w:pPr>
              <w:jc w:val="center"/>
              <w:rPr>
                <w:rFonts w:ascii="宋体" w:hAnsi="宋体"/>
                <w:color w:val="auto"/>
                <w:highlight w:val="none"/>
              </w:rPr>
            </w:pPr>
            <w:r>
              <w:rPr>
                <w:rFonts w:hint="eastAsia" w:ascii="宋体" w:hAnsi="宋体"/>
                <w:color w:val="auto"/>
                <w:highlight w:val="none"/>
              </w:rPr>
              <w:t>投标文件是否加密</w:t>
            </w:r>
          </w:p>
        </w:tc>
        <w:tc>
          <w:tcPr>
            <w:tcW w:w="6392" w:type="dxa"/>
            <w:vAlign w:val="center"/>
          </w:tcPr>
          <w:p>
            <w:pPr>
              <w:jc w:val="center"/>
              <w:rPr>
                <w:rFonts w:ascii="宋体" w:hAnsi="宋体"/>
                <w:color w:val="auto"/>
                <w:highlight w:val="none"/>
              </w:rPr>
            </w:pPr>
          </w:p>
        </w:tc>
      </w:tr>
    </w:tbl>
    <w:p>
      <w:pPr>
        <w:spacing w:beforeLines="30"/>
        <w:rPr>
          <w:rFonts w:ascii="宋体" w:hAnsi="宋体"/>
          <w:color w:val="auto"/>
          <w:highlight w:val="none"/>
        </w:rPr>
      </w:pPr>
    </w:p>
    <w:p>
      <w:pPr>
        <w:spacing w:beforeLines="30"/>
        <w:ind w:firstLine="4305" w:firstLineChars="2050"/>
        <w:rPr>
          <w:rFonts w:ascii="宋体" w:hAnsi="宋体" w:cs="宋体"/>
          <w:color w:val="auto"/>
          <w:kern w:val="0"/>
          <w:szCs w:val="21"/>
          <w:highlight w:val="none"/>
        </w:rPr>
      </w:pPr>
    </w:p>
    <w:p>
      <w:pPr>
        <w:spacing w:line="400" w:lineRule="exact"/>
        <w:rPr>
          <w:rFonts w:ascii="宋体" w:hAnsi="宋体" w:cs="宋体"/>
          <w:color w:val="auto"/>
          <w:highlight w:val="none"/>
        </w:rPr>
      </w:pPr>
    </w:p>
    <w:p>
      <w:pPr>
        <w:spacing w:line="400" w:lineRule="exact"/>
        <w:rPr>
          <w:rFonts w:ascii="宋体" w:hAnsi="宋体" w:cs="宋体"/>
          <w:color w:val="auto"/>
          <w:highlight w:val="none"/>
        </w:rPr>
      </w:pPr>
    </w:p>
    <w:p>
      <w:pPr>
        <w:spacing w:line="400" w:lineRule="exact"/>
        <w:rPr>
          <w:rFonts w:ascii="宋体" w:hAnsi="宋体" w:cs="宋体"/>
          <w:color w:val="auto"/>
          <w:highlight w:val="none"/>
        </w:rPr>
      </w:pPr>
    </w:p>
    <w:p>
      <w:pPr>
        <w:pStyle w:val="3"/>
        <w:rPr>
          <w:rFonts w:ascii="宋体" w:hAnsi="宋体" w:eastAsia="宋体" w:cs="宋体"/>
          <w:b w:val="0"/>
          <w:bCs w:val="0"/>
          <w:color w:val="auto"/>
          <w:sz w:val="21"/>
          <w:szCs w:val="24"/>
          <w:highlight w:val="none"/>
        </w:rPr>
        <w:sectPr>
          <w:footerReference r:id="rId6" w:type="default"/>
          <w:pgSz w:w="11906" w:h="16838"/>
          <w:pgMar w:top="1440" w:right="1797" w:bottom="1440" w:left="1797" w:header="851" w:footer="992" w:gutter="0"/>
          <w:pgNumType w:fmt="decimal"/>
          <w:cols w:space="720" w:num="1"/>
          <w:docGrid w:linePitch="312" w:charSpace="0"/>
        </w:sectPr>
      </w:pPr>
    </w:p>
    <w:p>
      <w:pPr>
        <w:pStyle w:val="4"/>
        <w:outlineLvl w:val="2"/>
        <w:rPr>
          <w:rFonts w:hint="eastAsia" w:ascii="黑体" w:hAnsi="黑体" w:eastAsia="黑体" w:cs="黑体"/>
          <w:b w:val="0"/>
          <w:bCs/>
          <w:color w:val="auto"/>
          <w:sz w:val="24"/>
          <w:szCs w:val="24"/>
          <w:highlight w:val="none"/>
        </w:rPr>
      </w:pPr>
      <w:bookmarkStart w:id="1188" w:name="_Toc2138"/>
      <w:bookmarkStart w:id="1189" w:name="_Toc604207934"/>
      <w:bookmarkStart w:id="1190" w:name="_Toc23924"/>
      <w:bookmarkStart w:id="1191" w:name="_Toc28037"/>
      <w:bookmarkStart w:id="1192" w:name="_Toc677819105"/>
      <w:bookmarkStart w:id="1193" w:name="_Toc31833"/>
      <w:bookmarkStart w:id="1194" w:name="_Toc9848"/>
      <w:bookmarkStart w:id="1195" w:name="_Toc7470"/>
      <w:r>
        <w:rPr>
          <w:rFonts w:hint="eastAsia" w:ascii="黑体" w:hAnsi="黑体" w:eastAsia="黑体" w:cs="黑体"/>
          <w:b w:val="0"/>
          <w:bCs/>
          <w:color w:val="auto"/>
          <w:sz w:val="24"/>
          <w:szCs w:val="24"/>
          <w:highlight w:val="none"/>
        </w:rPr>
        <w:t>附表六：开标记录表</w:t>
      </w:r>
      <w:bookmarkEnd w:id="1188"/>
      <w:bookmarkEnd w:id="1189"/>
      <w:bookmarkEnd w:id="1190"/>
      <w:bookmarkEnd w:id="1191"/>
      <w:bookmarkEnd w:id="1192"/>
      <w:bookmarkEnd w:id="1193"/>
      <w:bookmarkEnd w:id="1194"/>
      <w:bookmarkEnd w:id="1195"/>
    </w:p>
    <w:p>
      <w:pPr>
        <w:spacing w:line="400" w:lineRule="exact"/>
        <w:ind w:right="560"/>
        <w:jc w:val="center"/>
        <w:rPr>
          <w:rFonts w:ascii="黑体" w:eastAsia="黑体"/>
          <w:color w:val="auto"/>
          <w:sz w:val="28"/>
          <w:szCs w:val="28"/>
          <w:highlight w:val="none"/>
        </w:rPr>
      </w:pPr>
      <w:bookmarkStart w:id="1196" w:name="_Toc221950299"/>
      <w:bookmarkStart w:id="1197" w:name="_Toc221950300"/>
      <w:r>
        <w:rPr>
          <w:rFonts w:hint="eastAsia" w:ascii="黑体" w:eastAsia="黑体"/>
          <w:color w:val="auto"/>
          <w:sz w:val="28"/>
          <w:szCs w:val="28"/>
          <w:highlight w:val="none"/>
        </w:rPr>
        <w:t>（项目名称）（标段名称）</w:t>
      </w:r>
      <w:bookmarkEnd w:id="1196"/>
      <w:r>
        <w:rPr>
          <w:rFonts w:hint="eastAsia" w:ascii="黑体" w:eastAsia="黑体"/>
          <w:color w:val="auto"/>
          <w:sz w:val="28"/>
          <w:szCs w:val="28"/>
          <w:highlight w:val="none"/>
        </w:rPr>
        <w:t>施工开标记录表</w:t>
      </w:r>
    </w:p>
    <w:tbl>
      <w:tblPr>
        <w:tblStyle w:val="28"/>
        <w:tblpPr w:leftFromText="180" w:rightFromText="180" w:vertAnchor="text" w:horzAnchor="page" w:tblpX="982" w:tblpY="974"/>
        <w:tblOverlap w:val="never"/>
        <w:tblW w:w="14850" w:type="dxa"/>
        <w:tblInd w:w="0" w:type="dxa"/>
        <w:tblLayout w:type="fixed"/>
        <w:tblCellMar>
          <w:top w:w="0" w:type="dxa"/>
          <w:left w:w="108" w:type="dxa"/>
          <w:bottom w:w="0" w:type="dxa"/>
          <w:right w:w="108" w:type="dxa"/>
        </w:tblCellMar>
      </w:tblPr>
      <w:tblGrid>
        <w:gridCol w:w="621"/>
        <w:gridCol w:w="2606"/>
        <w:gridCol w:w="1134"/>
        <w:gridCol w:w="1842"/>
        <w:gridCol w:w="1418"/>
        <w:gridCol w:w="283"/>
        <w:gridCol w:w="1215"/>
        <w:gridCol w:w="1195"/>
        <w:gridCol w:w="709"/>
        <w:gridCol w:w="1276"/>
        <w:gridCol w:w="1417"/>
        <w:gridCol w:w="1134"/>
      </w:tblGrid>
      <w:tr>
        <w:tblPrEx>
          <w:tblLayout w:type="fixed"/>
          <w:tblCellMar>
            <w:top w:w="0" w:type="dxa"/>
            <w:left w:w="108" w:type="dxa"/>
            <w:bottom w:w="0" w:type="dxa"/>
            <w:right w:w="108" w:type="dxa"/>
          </w:tblCellMar>
        </w:tblPrEx>
        <w:trPr>
          <w:trHeight w:val="274" w:hRule="atLeast"/>
        </w:trPr>
        <w:tc>
          <w:tcPr>
            <w:tcW w:w="621" w:type="dxa"/>
            <w:vMerge w:val="restart"/>
            <w:tcBorders>
              <w:top w:val="single" w:color="auto" w:sz="4" w:space="0"/>
              <w:left w:val="single" w:color="auto" w:sz="4" w:space="0"/>
              <w:right w:val="single" w:color="auto" w:sz="4" w:space="0"/>
            </w:tcBorders>
            <w:vAlign w:val="center"/>
          </w:tcPr>
          <w:p>
            <w:pPr>
              <w:spacing w:line="0" w:lineRule="atLeast"/>
              <w:jc w:val="center"/>
              <w:rPr>
                <w:rFonts w:ascii="宋体" w:hAnsi="宋体" w:cs="宋体"/>
                <w:color w:val="auto"/>
                <w:szCs w:val="21"/>
                <w:highlight w:val="none"/>
              </w:rPr>
            </w:pPr>
            <w:bookmarkStart w:id="1198" w:name="_Toc221950301"/>
            <w:r>
              <w:rPr>
                <w:rFonts w:hint="eastAsia" w:ascii="宋体" w:hAnsi="宋体" w:cs="宋体"/>
                <w:color w:val="auto"/>
                <w:szCs w:val="21"/>
                <w:highlight w:val="none"/>
              </w:rPr>
              <w:t>序号</w:t>
            </w:r>
            <w:bookmarkEnd w:id="1198"/>
          </w:p>
        </w:tc>
        <w:tc>
          <w:tcPr>
            <w:tcW w:w="2606" w:type="dxa"/>
            <w:vMerge w:val="restart"/>
            <w:tcBorders>
              <w:top w:val="single" w:color="auto" w:sz="4" w:space="0"/>
              <w:left w:val="single" w:color="auto" w:sz="4" w:space="0"/>
              <w:right w:val="single" w:color="auto" w:sz="4" w:space="0"/>
            </w:tcBorders>
            <w:vAlign w:val="center"/>
          </w:tcPr>
          <w:p>
            <w:pPr>
              <w:spacing w:line="0" w:lineRule="atLeast"/>
              <w:jc w:val="center"/>
              <w:rPr>
                <w:rFonts w:ascii="宋体" w:hAnsi="宋体" w:cs="宋体"/>
                <w:color w:val="auto"/>
                <w:szCs w:val="21"/>
                <w:highlight w:val="none"/>
              </w:rPr>
            </w:pPr>
            <w:bookmarkStart w:id="1199" w:name="_Toc221950302"/>
            <w:r>
              <w:rPr>
                <w:rFonts w:hint="eastAsia" w:ascii="宋体" w:hAnsi="宋体" w:cs="宋体"/>
                <w:color w:val="auto"/>
                <w:szCs w:val="21"/>
                <w:highlight w:val="none"/>
              </w:rPr>
              <w:t>投标人</w:t>
            </w:r>
            <w:bookmarkEnd w:id="1199"/>
          </w:p>
        </w:tc>
        <w:tc>
          <w:tcPr>
            <w:tcW w:w="1134" w:type="dxa"/>
            <w:vMerge w:val="restart"/>
            <w:tcBorders>
              <w:top w:val="single" w:color="auto" w:sz="4" w:space="0"/>
              <w:left w:val="single" w:color="auto" w:sz="4" w:space="0"/>
              <w:right w:val="single" w:color="auto" w:sz="4" w:space="0"/>
            </w:tcBorders>
            <w:vAlign w:val="center"/>
          </w:tcPr>
          <w:p>
            <w:pPr>
              <w:spacing w:line="0" w:lineRule="atLeast"/>
              <w:jc w:val="center"/>
              <w:rPr>
                <w:rFonts w:ascii="宋体" w:hAnsi="宋体" w:cs="宋体"/>
                <w:color w:val="auto"/>
                <w:szCs w:val="21"/>
                <w:highlight w:val="none"/>
              </w:rPr>
            </w:pPr>
            <w:bookmarkStart w:id="1200" w:name="_Toc221950304"/>
            <w:r>
              <w:rPr>
                <w:rFonts w:hint="eastAsia" w:ascii="宋体" w:hAnsi="宋体" w:cs="宋体"/>
                <w:color w:val="auto"/>
                <w:szCs w:val="21"/>
                <w:highlight w:val="none"/>
              </w:rPr>
              <w:t>投标</w:t>
            </w:r>
          </w:p>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保证金</w:t>
            </w:r>
            <w:bookmarkEnd w:id="1200"/>
          </w:p>
        </w:tc>
        <w:tc>
          <w:tcPr>
            <w:tcW w:w="1842" w:type="dxa"/>
            <w:vMerge w:val="restart"/>
            <w:tcBorders>
              <w:top w:val="single" w:color="auto" w:sz="4" w:space="0"/>
              <w:left w:val="single" w:color="auto" w:sz="4" w:space="0"/>
              <w:right w:val="single" w:color="auto" w:sz="4" w:space="0"/>
            </w:tcBorders>
            <w:vAlign w:val="center"/>
          </w:tcPr>
          <w:p>
            <w:pPr>
              <w:spacing w:line="0" w:lineRule="atLeast"/>
              <w:jc w:val="center"/>
              <w:rPr>
                <w:rFonts w:ascii="宋体" w:hAnsi="宋体" w:cs="宋体"/>
                <w:color w:val="auto"/>
                <w:szCs w:val="21"/>
                <w:highlight w:val="none"/>
              </w:rPr>
            </w:pPr>
            <w:bookmarkStart w:id="1201" w:name="_Toc221950305"/>
            <w:r>
              <w:rPr>
                <w:rFonts w:hint="eastAsia" w:ascii="宋体" w:hAnsi="宋体" w:cs="宋体"/>
                <w:color w:val="auto"/>
                <w:szCs w:val="21"/>
                <w:highlight w:val="none"/>
              </w:rPr>
              <w:t>投标报价</w:t>
            </w:r>
          </w:p>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（元）</w:t>
            </w:r>
            <w:bookmarkEnd w:id="1201"/>
          </w:p>
        </w:tc>
        <w:tc>
          <w:tcPr>
            <w:tcW w:w="1701" w:type="dxa"/>
            <w:gridSpan w:val="2"/>
            <w:vMerge w:val="restart"/>
            <w:tcBorders>
              <w:top w:val="single" w:color="auto" w:sz="4" w:space="0"/>
              <w:left w:val="single" w:color="auto" w:sz="4" w:space="0"/>
              <w:right w:val="single" w:color="auto" w:sz="4" w:space="0"/>
            </w:tcBorders>
            <w:vAlign w:val="center"/>
          </w:tcPr>
          <w:p>
            <w:pPr>
              <w:spacing w:line="0" w:lineRule="atLeast"/>
              <w:jc w:val="center"/>
              <w:rPr>
                <w:rFonts w:ascii="宋体" w:hAnsi="宋体" w:cs="宋体"/>
                <w:color w:val="auto"/>
                <w:szCs w:val="21"/>
                <w:highlight w:val="none"/>
              </w:rPr>
            </w:pPr>
            <w:bookmarkStart w:id="1202" w:name="_Toc221950306"/>
            <w:r>
              <w:rPr>
                <w:rFonts w:hint="eastAsia" w:ascii="宋体" w:hAnsi="宋体" w:cs="宋体"/>
                <w:color w:val="auto"/>
                <w:szCs w:val="21"/>
                <w:highlight w:val="none"/>
              </w:rPr>
              <w:t>质量目标</w:t>
            </w:r>
            <w:bookmarkEnd w:id="1202"/>
          </w:p>
        </w:tc>
        <w:tc>
          <w:tcPr>
            <w:tcW w:w="1215" w:type="dxa"/>
            <w:vMerge w:val="restart"/>
            <w:tcBorders>
              <w:top w:val="single" w:color="auto" w:sz="4" w:space="0"/>
              <w:left w:val="single" w:color="auto" w:sz="4" w:space="0"/>
              <w:right w:val="single" w:color="auto" w:sz="4" w:space="0"/>
            </w:tcBorders>
            <w:vAlign w:val="center"/>
          </w:tcPr>
          <w:p>
            <w:pPr>
              <w:spacing w:line="0" w:lineRule="atLeast"/>
              <w:jc w:val="center"/>
              <w:rPr>
                <w:rFonts w:ascii="宋体" w:hAnsi="宋体" w:cs="宋体"/>
                <w:color w:val="auto"/>
                <w:szCs w:val="21"/>
                <w:highlight w:val="none"/>
              </w:rPr>
            </w:pPr>
            <w:bookmarkStart w:id="1203" w:name="_Toc221950307"/>
            <w:r>
              <w:rPr>
                <w:rFonts w:hint="eastAsia" w:ascii="宋体" w:hAnsi="宋体" w:cs="宋体"/>
                <w:color w:val="auto"/>
                <w:szCs w:val="21"/>
                <w:highlight w:val="none"/>
              </w:rPr>
              <w:t>工期</w:t>
            </w:r>
            <w:bookmarkEnd w:id="1203"/>
          </w:p>
          <w:p>
            <w:pPr>
              <w:spacing w:line="0" w:lineRule="atLeast"/>
              <w:jc w:val="center"/>
              <w:rPr>
                <w:rFonts w:ascii="宋体" w:hAnsi="宋体" w:cs="宋体"/>
                <w:color w:val="auto"/>
                <w:szCs w:val="21"/>
                <w:highlight w:val="none"/>
              </w:rPr>
            </w:pPr>
            <w:r>
              <w:rPr>
                <w:rFonts w:hint="eastAsia"/>
                <w:color w:val="auto"/>
                <w:szCs w:val="21"/>
                <w:highlight w:val="none"/>
              </w:rPr>
              <w:t>（日历天）</w:t>
            </w:r>
          </w:p>
        </w:tc>
        <w:tc>
          <w:tcPr>
            <w:tcW w:w="3180"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项目负责人</w:t>
            </w:r>
          </w:p>
        </w:tc>
        <w:tc>
          <w:tcPr>
            <w:tcW w:w="1417" w:type="dxa"/>
            <w:vMerge w:val="restart"/>
            <w:tcBorders>
              <w:top w:val="single" w:color="auto" w:sz="4" w:space="0"/>
              <w:left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投标人代表</w:t>
            </w:r>
          </w:p>
        </w:tc>
        <w:tc>
          <w:tcPr>
            <w:tcW w:w="1134" w:type="dxa"/>
            <w:vMerge w:val="restart"/>
            <w:tcBorders>
              <w:top w:val="single" w:color="auto" w:sz="4" w:space="0"/>
              <w:left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联系电话</w:t>
            </w:r>
          </w:p>
        </w:tc>
      </w:tr>
      <w:tr>
        <w:tblPrEx>
          <w:tblLayout w:type="fixed"/>
          <w:tblCellMar>
            <w:top w:w="0" w:type="dxa"/>
            <w:left w:w="108" w:type="dxa"/>
            <w:bottom w:w="0" w:type="dxa"/>
            <w:right w:w="108" w:type="dxa"/>
          </w:tblCellMar>
        </w:tblPrEx>
        <w:trPr>
          <w:trHeight w:val="274" w:hRule="atLeast"/>
        </w:trPr>
        <w:tc>
          <w:tcPr>
            <w:tcW w:w="621" w:type="dxa"/>
            <w:vMerge w:val="continue"/>
            <w:tcBorders>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c>
          <w:tcPr>
            <w:tcW w:w="2606" w:type="dxa"/>
            <w:vMerge w:val="continue"/>
            <w:tcBorders>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c>
          <w:tcPr>
            <w:tcW w:w="1134" w:type="dxa"/>
            <w:vMerge w:val="continue"/>
            <w:tcBorders>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c>
          <w:tcPr>
            <w:tcW w:w="1842" w:type="dxa"/>
            <w:vMerge w:val="continue"/>
            <w:tcBorders>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c>
          <w:tcPr>
            <w:tcW w:w="1701" w:type="dxa"/>
            <w:gridSpan w:val="2"/>
            <w:vMerge w:val="continue"/>
            <w:tcBorders>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c>
          <w:tcPr>
            <w:tcW w:w="1215" w:type="dxa"/>
            <w:vMerge w:val="continue"/>
            <w:tcBorders>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c>
          <w:tcPr>
            <w:tcW w:w="1195"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姓名</w:t>
            </w:r>
          </w:p>
        </w:tc>
        <w:tc>
          <w:tcPr>
            <w:tcW w:w="70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证书名称</w:t>
            </w:r>
          </w:p>
        </w:tc>
        <w:tc>
          <w:tcPr>
            <w:tcW w:w="1276"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证书编号</w:t>
            </w:r>
          </w:p>
        </w:tc>
        <w:tc>
          <w:tcPr>
            <w:tcW w:w="1417" w:type="dxa"/>
            <w:vMerge w:val="continue"/>
            <w:tcBorders>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c>
          <w:tcPr>
            <w:tcW w:w="1134" w:type="dxa"/>
            <w:vMerge w:val="continue"/>
            <w:tcBorders>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497" w:hRule="atLeast"/>
        </w:trPr>
        <w:tc>
          <w:tcPr>
            <w:tcW w:w="621"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2606"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842"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215"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3180" w:type="dxa"/>
            <w:gridSpan w:val="3"/>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497" w:hRule="atLeast"/>
        </w:trPr>
        <w:tc>
          <w:tcPr>
            <w:tcW w:w="621"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2606"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842"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215"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3180" w:type="dxa"/>
            <w:gridSpan w:val="3"/>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497" w:hRule="atLeast"/>
        </w:trPr>
        <w:tc>
          <w:tcPr>
            <w:tcW w:w="621"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2606"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842"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215"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3180" w:type="dxa"/>
            <w:gridSpan w:val="3"/>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497" w:hRule="atLeast"/>
        </w:trPr>
        <w:tc>
          <w:tcPr>
            <w:tcW w:w="621"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2606"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842"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215"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3180" w:type="dxa"/>
            <w:gridSpan w:val="3"/>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tcPr>
          <w:p>
            <w:pPr>
              <w:spacing w:line="500" w:lineRule="exact"/>
              <w:jc w:val="left"/>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481" w:hRule="atLeast"/>
        </w:trPr>
        <w:tc>
          <w:tcPr>
            <w:tcW w:w="322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最高投标限价（元）</w:t>
            </w:r>
          </w:p>
        </w:tc>
        <w:tc>
          <w:tcPr>
            <w:tcW w:w="4394"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c>
          <w:tcPr>
            <w:tcW w:w="2693"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评标基准价下浮率</w:t>
            </w:r>
          </w:p>
        </w:tc>
        <w:tc>
          <w:tcPr>
            <w:tcW w:w="4536"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r>
      <w:tr>
        <w:tblPrEx>
          <w:tblLayout w:type="fixed"/>
          <w:tblCellMar>
            <w:top w:w="0" w:type="dxa"/>
            <w:left w:w="108" w:type="dxa"/>
            <w:bottom w:w="0" w:type="dxa"/>
            <w:right w:w="108" w:type="dxa"/>
          </w:tblCellMar>
        </w:tblPrEx>
        <w:trPr>
          <w:trHeight w:val="497" w:hRule="atLeast"/>
        </w:trPr>
        <w:tc>
          <w:tcPr>
            <w:tcW w:w="322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r>
              <w:rPr>
                <w:rFonts w:hint="eastAsia" w:ascii="宋体" w:hAnsi="宋体" w:cs="宋体"/>
                <w:color w:val="auto"/>
                <w:szCs w:val="21"/>
                <w:highlight w:val="none"/>
              </w:rPr>
              <w:t>开标现场需记录的其他情况</w:t>
            </w:r>
          </w:p>
        </w:tc>
        <w:tc>
          <w:tcPr>
            <w:tcW w:w="11623"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宋体"/>
                <w:color w:val="auto"/>
                <w:szCs w:val="21"/>
                <w:highlight w:val="none"/>
              </w:rPr>
            </w:pPr>
          </w:p>
        </w:tc>
      </w:tr>
    </w:tbl>
    <w:p>
      <w:pPr>
        <w:spacing w:line="400" w:lineRule="exact"/>
        <w:ind w:right="560"/>
        <w:rPr>
          <w:rFonts w:ascii="宋体" w:hAnsi="宋体" w:cs="宋体"/>
          <w:color w:val="auto"/>
          <w:highlight w:val="none"/>
        </w:rPr>
      </w:pPr>
      <w:r>
        <w:rPr>
          <w:rFonts w:hint="eastAsia" w:ascii="宋体" w:hAnsi="宋体" w:cs="宋体"/>
          <w:color w:val="auto"/>
          <w:highlight w:val="none"/>
        </w:rPr>
        <w:t>开标时间：年月日时分</w:t>
      </w:r>
      <w:bookmarkEnd w:id="1197"/>
    </w:p>
    <w:p>
      <w:pPr>
        <w:spacing w:line="620" w:lineRule="exact"/>
        <w:ind w:firstLine="4620" w:firstLineChars="2200"/>
        <w:rPr>
          <w:rFonts w:ascii="宋体" w:hAnsi="宋体" w:cs="宋体"/>
          <w:color w:val="auto"/>
          <w:szCs w:val="21"/>
          <w:highlight w:val="none"/>
        </w:rPr>
      </w:pPr>
      <w:bookmarkStart w:id="1204" w:name="_Toc221950311"/>
      <w:r>
        <w:rPr>
          <w:rFonts w:hint="eastAsia" w:ascii="宋体" w:hAnsi="宋体" w:cs="宋体"/>
          <w:color w:val="auto"/>
          <w:szCs w:val="21"/>
          <w:highlight w:val="none"/>
        </w:rPr>
        <w:t>主持人： ；招标人代表：；监标人：</w:t>
      </w:r>
      <w:bookmarkEnd w:id="1204"/>
    </w:p>
    <w:p>
      <w:pPr>
        <w:spacing w:line="620" w:lineRule="exact"/>
        <w:jc w:val="right"/>
        <w:rPr>
          <w:rFonts w:ascii="宋体" w:hAnsi="宋体" w:cs="宋体"/>
          <w:color w:val="auto"/>
          <w:sz w:val="20"/>
          <w:szCs w:val="20"/>
          <w:highlight w:val="none"/>
        </w:rPr>
      </w:pPr>
    </w:p>
    <w:p>
      <w:pPr>
        <w:spacing w:line="400" w:lineRule="exact"/>
        <w:rPr>
          <w:rFonts w:ascii="宋体" w:hAnsi="宋体" w:cs="宋体"/>
          <w:color w:val="auto"/>
          <w:highlight w:val="none"/>
        </w:rPr>
      </w:pPr>
      <w:r>
        <w:rPr>
          <w:rFonts w:hint="eastAsia" w:ascii="宋体" w:hAnsi="宋体" w:cs="宋体"/>
          <w:color w:val="auto"/>
          <w:highlight w:val="none"/>
        </w:rPr>
        <w:t>备注：可以根据招标项目的实际需要对本开标记录表进行适当修改，最终以电子交易平台生成版本为准。</w:t>
      </w:r>
    </w:p>
    <w:p>
      <w:pPr>
        <w:spacing w:line="400" w:lineRule="exact"/>
        <w:rPr>
          <w:color w:val="auto"/>
          <w:highlight w:val="none"/>
        </w:rPr>
        <w:sectPr>
          <w:pgSz w:w="16838" w:h="11906" w:orient="landscape"/>
          <w:pgMar w:top="1797" w:right="1440" w:bottom="1797" w:left="1440" w:header="851" w:footer="992" w:gutter="0"/>
          <w:pgNumType w:fmt="decimal"/>
          <w:cols w:space="720" w:num="1"/>
          <w:docGrid w:linePitch="312" w:charSpace="0"/>
        </w:sectPr>
      </w:pPr>
    </w:p>
    <w:p>
      <w:pPr>
        <w:pStyle w:val="4"/>
        <w:outlineLvl w:val="2"/>
        <w:rPr>
          <w:rFonts w:hint="eastAsia" w:ascii="黑体" w:hAnsi="黑体" w:eastAsia="黑体" w:cs="黑体"/>
          <w:b w:val="0"/>
          <w:bCs/>
          <w:color w:val="auto"/>
          <w:sz w:val="24"/>
          <w:szCs w:val="24"/>
          <w:highlight w:val="none"/>
        </w:rPr>
      </w:pPr>
      <w:bookmarkStart w:id="1205" w:name="_Toc353544004"/>
      <w:bookmarkStart w:id="1206" w:name="_Toc403382439"/>
      <w:bookmarkStart w:id="1207" w:name="_Toc5846"/>
      <w:bookmarkStart w:id="1208" w:name="_Toc3270"/>
      <w:bookmarkStart w:id="1209" w:name="_Toc1071351229"/>
      <w:bookmarkStart w:id="1210" w:name="_Toc21650"/>
      <w:bookmarkStart w:id="1211" w:name="_Toc2838"/>
      <w:bookmarkStart w:id="1212" w:name="_Toc18210"/>
      <w:bookmarkStart w:id="1213" w:name="_Toc7432"/>
      <w:bookmarkStart w:id="1214" w:name="_Toc100626766"/>
      <w:r>
        <w:rPr>
          <w:rFonts w:hint="eastAsia" w:ascii="黑体" w:hAnsi="黑体" w:eastAsia="黑体" w:cs="黑体"/>
          <w:b w:val="0"/>
          <w:bCs/>
          <w:color w:val="auto"/>
          <w:sz w:val="24"/>
          <w:szCs w:val="24"/>
          <w:highlight w:val="none"/>
        </w:rPr>
        <w:t>附表七：</w:t>
      </w:r>
      <w:bookmarkEnd w:id="1205"/>
      <w:bookmarkEnd w:id="1206"/>
      <w:bookmarkStart w:id="1215" w:name="_Toc403382442"/>
      <w:r>
        <w:rPr>
          <w:rFonts w:hint="eastAsia" w:ascii="黑体" w:hAnsi="黑体" w:eastAsia="黑体" w:cs="黑体"/>
          <w:b w:val="0"/>
          <w:bCs/>
          <w:color w:val="auto"/>
          <w:sz w:val="24"/>
          <w:szCs w:val="24"/>
          <w:highlight w:val="none"/>
        </w:rPr>
        <w:t>投标文件问题澄清通知</w:t>
      </w:r>
      <w:bookmarkEnd w:id="1207"/>
      <w:bookmarkEnd w:id="1208"/>
      <w:bookmarkEnd w:id="1209"/>
      <w:bookmarkEnd w:id="1210"/>
      <w:bookmarkEnd w:id="1211"/>
      <w:bookmarkEnd w:id="1212"/>
      <w:bookmarkEnd w:id="1213"/>
      <w:bookmarkEnd w:id="1214"/>
      <w:bookmarkEnd w:id="1215"/>
    </w:p>
    <w:p>
      <w:pPr>
        <w:rPr>
          <w:color w:val="auto"/>
          <w:highlight w:val="none"/>
        </w:rPr>
      </w:pPr>
    </w:p>
    <w:p>
      <w:pPr>
        <w:spacing w:beforeLines="100" w:afterLines="100" w:line="400" w:lineRule="exact"/>
        <w:jc w:val="center"/>
        <w:rPr>
          <w:rFonts w:ascii="黑体" w:eastAsia="黑体"/>
          <w:color w:val="auto"/>
          <w:sz w:val="28"/>
          <w:szCs w:val="28"/>
          <w:highlight w:val="none"/>
        </w:rPr>
      </w:pPr>
      <w:r>
        <w:rPr>
          <w:rFonts w:hint="eastAsia" w:ascii="黑体" w:eastAsia="黑体"/>
          <w:color w:val="auto"/>
          <w:sz w:val="28"/>
          <w:szCs w:val="28"/>
          <w:highlight w:val="none"/>
        </w:rPr>
        <w:t>投标文件问题澄清通知</w:t>
      </w:r>
    </w:p>
    <w:p>
      <w:pPr>
        <w:spacing w:line="400" w:lineRule="exact"/>
        <w:ind w:firstLine="5355" w:firstLineChars="2550"/>
        <w:rPr>
          <w:color w:val="auto"/>
          <w:highlight w:val="none"/>
          <w:u w:val="single"/>
        </w:rPr>
      </w:pPr>
      <w:r>
        <w:rPr>
          <w:rFonts w:hint="eastAsia"/>
          <w:color w:val="auto"/>
          <w:highlight w:val="none"/>
        </w:rPr>
        <w:t>编号：</w:t>
      </w:r>
    </w:p>
    <w:p>
      <w:pPr>
        <w:spacing w:line="480" w:lineRule="exact"/>
        <w:rPr>
          <w:color w:val="auto"/>
          <w:highlight w:val="none"/>
        </w:rPr>
      </w:pPr>
      <w:r>
        <w:rPr>
          <w:rFonts w:hint="eastAsia"/>
          <w:color w:val="auto"/>
          <w:highlight w:val="none"/>
          <w:u w:val="single"/>
          <w:lang w:val="en-US" w:eastAsia="zh-CN"/>
        </w:rPr>
        <w:t xml:space="preserve">     </w:t>
      </w:r>
      <w:r>
        <w:rPr>
          <w:rFonts w:hint="eastAsia"/>
          <w:color w:val="auto"/>
          <w:highlight w:val="none"/>
        </w:rPr>
        <w:t>（投标人名称）：</w:t>
      </w:r>
    </w:p>
    <w:p>
      <w:pPr>
        <w:spacing w:line="480" w:lineRule="exact"/>
        <w:ind w:firstLine="420" w:firstLineChars="200"/>
        <w:rPr>
          <w:color w:val="auto"/>
          <w:highlight w:val="none"/>
          <w:u w:val="single"/>
        </w:rPr>
      </w:pPr>
    </w:p>
    <w:p>
      <w:pPr>
        <w:spacing w:line="480" w:lineRule="exact"/>
        <w:ind w:firstLine="525" w:firstLineChars="250"/>
        <w:rPr>
          <w:color w:val="auto"/>
          <w:highlight w:val="none"/>
        </w:rPr>
      </w:pPr>
      <w:r>
        <w:rPr>
          <w:rFonts w:hint="eastAsia"/>
          <w:color w:val="auto"/>
          <w:highlight w:val="none"/>
          <w:u w:val="single"/>
          <w:lang w:val="en-US" w:eastAsia="zh-CN"/>
        </w:rPr>
        <w:t xml:space="preserve">     </w:t>
      </w:r>
      <w:r>
        <w:rPr>
          <w:rFonts w:hint="eastAsia"/>
          <w:color w:val="auto"/>
          <w:highlight w:val="none"/>
        </w:rPr>
        <w:t>（项目名称）</w:t>
      </w:r>
      <w:r>
        <w:rPr>
          <w:rFonts w:hint="eastAsia"/>
          <w:color w:val="auto"/>
          <w:highlight w:val="none"/>
          <w:u w:val="single"/>
          <w:lang w:val="en-US" w:eastAsia="zh-CN"/>
        </w:rPr>
        <w:t xml:space="preserve">     </w:t>
      </w:r>
      <w:r>
        <w:rPr>
          <w:rFonts w:hint="eastAsia"/>
          <w:color w:val="auto"/>
          <w:highlight w:val="none"/>
        </w:rPr>
        <w:t>（标段名称）施工招标的评标委员会，对你方的投标文件进行了仔细的审查，现需你方对下列问题以书面形式予以澄清、说明或者补正，并将投标文件的澄清、说明或者补正于年月日时前，通过“电子交易平台”提交给本评标委员会。</w:t>
      </w:r>
    </w:p>
    <w:p>
      <w:pPr>
        <w:spacing w:line="440" w:lineRule="exact"/>
        <w:ind w:firstLine="420" w:firstLineChars="200"/>
        <w:rPr>
          <w:color w:val="auto"/>
          <w:highlight w:val="none"/>
        </w:rPr>
      </w:pPr>
      <w:r>
        <w:rPr>
          <w:color w:val="auto"/>
          <w:highlight w:val="none"/>
        </w:rPr>
        <w:t>1</w:t>
      </w:r>
      <w:r>
        <w:rPr>
          <w:rFonts w:hint="eastAsia"/>
          <w:color w:val="auto"/>
          <w:highlight w:val="none"/>
        </w:rPr>
        <w:t>、</w:t>
      </w:r>
      <w:r>
        <w:rPr>
          <w:color w:val="auto"/>
          <w:highlight w:val="none"/>
        </w:rPr>
        <w:t xml:space="preserve"> ......</w:t>
      </w:r>
    </w:p>
    <w:p>
      <w:pPr>
        <w:spacing w:line="440" w:lineRule="exact"/>
        <w:rPr>
          <w:color w:val="auto"/>
          <w:highlight w:val="none"/>
        </w:rPr>
      </w:pPr>
      <w:r>
        <w:rPr>
          <w:color w:val="auto"/>
          <w:highlight w:val="none"/>
        </w:rPr>
        <w:t xml:space="preserve">    2</w:t>
      </w:r>
      <w:r>
        <w:rPr>
          <w:rFonts w:hint="eastAsia"/>
          <w:color w:val="auto"/>
          <w:highlight w:val="none"/>
        </w:rPr>
        <w:t>、</w:t>
      </w:r>
      <w:r>
        <w:rPr>
          <w:color w:val="auto"/>
          <w:highlight w:val="none"/>
        </w:rPr>
        <w:t xml:space="preserve"> ......</w:t>
      </w:r>
    </w:p>
    <w:p>
      <w:pPr>
        <w:spacing w:line="440" w:lineRule="exact"/>
        <w:rPr>
          <w:color w:val="auto"/>
          <w:highlight w:val="none"/>
        </w:rPr>
      </w:pPr>
      <w:r>
        <w:rPr>
          <w:color w:val="auto"/>
          <w:highlight w:val="none"/>
        </w:rPr>
        <w:t xml:space="preserve">     ......   </w:t>
      </w:r>
    </w:p>
    <w:p>
      <w:pPr>
        <w:spacing w:line="480" w:lineRule="exact"/>
        <w:ind w:firstLine="2100" w:firstLineChars="1000"/>
        <w:rPr>
          <w:rFonts w:ascii="宋体" w:hAnsi="宋体"/>
          <w:color w:val="auto"/>
          <w:highlight w:val="none"/>
        </w:rPr>
      </w:pPr>
      <w:r>
        <w:rPr>
          <w:rFonts w:hint="eastAsia" w:ascii="宋体" w:hAnsi="宋体"/>
          <w:color w:val="auto"/>
          <w:highlight w:val="none"/>
        </w:rPr>
        <w:t xml:space="preserve"> </w:t>
      </w:r>
      <w:r>
        <w:rPr>
          <w:rFonts w:hint="eastAsia"/>
          <w:color w:val="auto"/>
          <w:highlight w:val="none"/>
          <w:u w:val="single"/>
          <w:lang w:val="en-US" w:eastAsia="zh-CN"/>
        </w:rPr>
        <w:t xml:space="preserve">     </w:t>
      </w:r>
      <w:r>
        <w:rPr>
          <w:rFonts w:hint="eastAsia" w:ascii="宋体" w:hAnsi="宋体"/>
          <w:color w:val="auto"/>
          <w:highlight w:val="none"/>
        </w:rPr>
        <w:t>（项目名称）</w:t>
      </w:r>
      <w:r>
        <w:rPr>
          <w:rFonts w:hint="eastAsia"/>
          <w:color w:val="auto"/>
          <w:highlight w:val="none"/>
          <w:u w:val="single"/>
          <w:lang w:val="en-US" w:eastAsia="zh-CN"/>
        </w:rPr>
        <w:t xml:space="preserve">     </w:t>
      </w:r>
      <w:r>
        <w:rPr>
          <w:rFonts w:hint="eastAsia"/>
          <w:color w:val="auto"/>
          <w:highlight w:val="none"/>
        </w:rPr>
        <w:t>（标段名称）</w:t>
      </w:r>
      <w:r>
        <w:rPr>
          <w:rFonts w:hint="eastAsia" w:ascii="宋体" w:hAnsi="宋体"/>
          <w:color w:val="auto"/>
          <w:highlight w:val="none"/>
        </w:rPr>
        <w:t>施工招标评标委员会</w:t>
      </w:r>
    </w:p>
    <w:p>
      <w:pPr>
        <w:spacing w:line="480" w:lineRule="exact"/>
        <w:ind w:firstLine="945" w:firstLineChars="450"/>
        <w:rPr>
          <w:color w:val="auto"/>
          <w:highlight w:val="none"/>
        </w:rPr>
      </w:pPr>
      <w:r>
        <w:rPr>
          <w:rFonts w:hint="eastAsia"/>
          <w:color w:val="auto"/>
          <w:highlight w:val="none"/>
        </w:rPr>
        <w:t>（经评标委员会授权的招标人代表签字或招标人盖单位章）：</w:t>
      </w:r>
    </w:p>
    <w:p>
      <w:pPr>
        <w:spacing w:line="480" w:lineRule="exact"/>
        <w:ind w:firstLine="5565" w:firstLineChars="2650"/>
        <w:rPr>
          <w:color w:val="auto"/>
          <w:highlight w:val="none"/>
          <w:u w:val="single"/>
        </w:rPr>
      </w:pPr>
    </w:p>
    <w:p>
      <w:pPr>
        <w:spacing w:line="480" w:lineRule="exact"/>
        <w:ind w:firstLine="5565" w:firstLineChars="2650"/>
        <w:rPr>
          <w:color w:val="auto"/>
          <w:highlight w:val="none"/>
        </w:rPr>
      </w:pPr>
      <w:r>
        <w:rPr>
          <w:rFonts w:hint="eastAsia"/>
          <w:color w:val="auto"/>
          <w:highlight w:val="none"/>
        </w:rPr>
        <w:t>年</w:t>
      </w:r>
      <w:r>
        <w:rPr>
          <w:rFonts w:hint="eastAsia"/>
          <w:color w:val="auto"/>
          <w:highlight w:val="none"/>
          <w:lang w:val="en-US" w:eastAsia="zh-CN"/>
        </w:rPr>
        <w:t xml:space="preserve">  </w:t>
      </w:r>
      <w:r>
        <w:rPr>
          <w:rFonts w:hint="eastAsia"/>
          <w:color w:val="auto"/>
          <w:highlight w:val="none"/>
        </w:rPr>
        <w:t>月</w:t>
      </w:r>
      <w:r>
        <w:rPr>
          <w:rFonts w:hint="eastAsia"/>
          <w:color w:val="auto"/>
          <w:highlight w:val="none"/>
          <w:lang w:val="en-US" w:eastAsia="zh-CN"/>
        </w:rPr>
        <w:t xml:space="preserve">  </w:t>
      </w:r>
      <w:r>
        <w:rPr>
          <w:rFonts w:hint="eastAsia"/>
          <w:color w:val="auto"/>
          <w:highlight w:val="none"/>
        </w:rPr>
        <w:t>日</w:t>
      </w:r>
    </w:p>
    <w:p>
      <w:pPr>
        <w:spacing w:line="480" w:lineRule="exact"/>
        <w:ind w:firstLine="5565" w:firstLineChars="2650"/>
        <w:rPr>
          <w:color w:val="auto"/>
          <w:highlight w:val="none"/>
        </w:rPr>
      </w:pPr>
    </w:p>
    <w:p>
      <w:pPr>
        <w:spacing w:line="480" w:lineRule="exact"/>
        <w:ind w:firstLine="5565" w:firstLineChars="2650"/>
        <w:rPr>
          <w:color w:val="auto"/>
          <w:highlight w:val="none"/>
        </w:rPr>
      </w:pPr>
    </w:p>
    <w:p>
      <w:pPr>
        <w:spacing w:line="480" w:lineRule="exact"/>
        <w:ind w:firstLine="5565" w:firstLineChars="2650"/>
        <w:rPr>
          <w:color w:val="auto"/>
          <w:highlight w:val="none"/>
        </w:rPr>
      </w:pPr>
    </w:p>
    <w:p>
      <w:pPr>
        <w:spacing w:line="480" w:lineRule="exact"/>
        <w:ind w:firstLine="5565" w:firstLineChars="2650"/>
        <w:rPr>
          <w:color w:val="auto"/>
          <w:highlight w:val="none"/>
        </w:rPr>
      </w:pPr>
    </w:p>
    <w:p>
      <w:pPr>
        <w:spacing w:line="480" w:lineRule="exact"/>
        <w:ind w:firstLine="5565" w:firstLineChars="2650"/>
        <w:rPr>
          <w:color w:val="auto"/>
          <w:highlight w:val="none"/>
        </w:rPr>
      </w:pPr>
    </w:p>
    <w:p>
      <w:pPr>
        <w:spacing w:line="480" w:lineRule="exact"/>
        <w:ind w:firstLine="5565" w:firstLineChars="2650"/>
        <w:rPr>
          <w:color w:val="auto"/>
          <w:highlight w:val="none"/>
        </w:rPr>
      </w:pPr>
    </w:p>
    <w:p>
      <w:pPr>
        <w:spacing w:line="480" w:lineRule="exact"/>
        <w:ind w:firstLine="5565" w:firstLineChars="2650"/>
        <w:rPr>
          <w:color w:val="auto"/>
          <w:highlight w:val="none"/>
        </w:rPr>
      </w:pPr>
    </w:p>
    <w:p>
      <w:pPr>
        <w:spacing w:line="480" w:lineRule="exact"/>
        <w:ind w:firstLine="5565" w:firstLineChars="2650"/>
        <w:rPr>
          <w:color w:val="auto"/>
          <w:highlight w:val="none"/>
        </w:rPr>
      </w:pPr>
    </w:p>
    <w:p>
      <w:pPr>
        <w:spacing w:line="480" w:lineRule="exact"/>
        <w:ind w:firstLine="5565" w:firstLineChars="2650"/>
        <w:rPr>
          <w:color w:val="auto"/>
          <w:highlight w:val="none"/>
        </w:rPr>
      </w:pPr>
    </w:p>
    <w:p>
      <w:pPr>
        <w:rPr>
          <w:rFonts w:hint="eastAsia" w:ascii="黑体" w:hAnsi="黑体" w:eastAsia="黑体" w:cs="黑体"/>
          <w:b w:val="0"/>
          <w:bCs/>
          <w:color w:val="auto"/>
          <w:sz w:val="24"/>
          <w:szCs w:val="24"/>
          <w:highlight w:val="none"/>
        </w:rPr>
      </w:pPr>
      <w:bookmarkStart w:id="1216" w:name="_Toc403382443"/>
      <w:bookmarkStart w:id="1217" w:name="_Toc337034261"/>
      <w:bookmarkStart w:id="1218" w:name="_Toc355242872"/>
      <w:bookmarkStart w:id="1219" w:name="_Toc29748"/>
      <w:bookmarkStart w:id="1220" w:name="_Toc4915"/>
      <w:bookmarkStart w:id="1221" w:name="_Toc6516"/>
      <w:bookmarkStart w:id="1222" w:name="_Toc27905"/>
      <w:bookmarkStart w:id="1223" w:name="_Toc20063"/>
      <w:r>
        <w:rPr>
          <w:rFonts w:hint="eastAsia" w:ascii="黑体" w:hAnsi="黑体" w:eastAsia="黑体" w:cs="黑体"/>
          <w:b w:val="0"/>
          <w:bCs/>
          <w:color w:val="auto"/>
          <w:sz w:val="24"/>
          <w:szCs w:val="24"/>
          <w:highlight w:val="none"/>
        </w:rPr>
        <w:br w:type="page"/>
      </w:r>
    </w:p>
    <w:p>
      <w:pPr>
        <w:pStyle w:val="4"/>
        <w:outlineLvl w:val="2"/>
        <w:rPr>
          <w:rFonts w:hint="eastAsia" w:ascii="黑体" w:hAnsi="黑体" w:eastAsia="黑体" w:cs="黑体"/>
          <w:b w:val="0"/>
          <w:bCs/>
          <w:color w:val="auto"/>
          <w:sz w:val="24"/>
          <w:szCs w:val="24"/>
          <w:highlight w:val="none"/>
        </w:rPr>
      </w:pPr>
      <w:bookmarkStart w:id="1224" w:name="_Toc28166"/>
      <w:r>
        <w:rPr>
          <w:rFonts w:hint="eastAsia" w:ascii="黑体" w:hAnsi="黑体" w:eastAsia="黑体" w:cs="黑体"/>
          <w:b w:val="0"/>
          <w:bCs/>
          <w:color w:val="auto"/>
          <w:sz w:val="24"/>
          <w:szCs w:val="24"/>
          <w:highlight w:val="none"/>
        </w:rPr>
        <w:t>附表八：投标文件问题的澄清</w:t>
      </w:r>
      <w:bookmarkEnd w:id="1216"/>
      <w:r>
        <w:rPr>
          <w:rFonts w:hint="eastAsia" w:ascii="黑体" w:hAnsi="黑体" w:eastAsia="黑体" w:cs="黑体"/>
          <w:b w:val="0"/>
          <w:bCs/>
          <w:color w:val="auto"/>
          <w:sz w:val="24"/>
          <w:szCs w:val="24"/>
          <w:highlight w:val="none"/>
        </w:rPr>
        <w:t>函</w:t>
      </w:r>
      <w:bookmarkEnd w:id="1217"/>
      <w:bookmarkEnd w:id="1218"/>
      <w:bookmarkEnd w:id="1219"/>
      <w:bookmarkEnd w:id="1220"/>
      <w:bookmarkEnd w:id="1221"/>
      <w:bookmarkEnd w:id="1222"/>
      <w:bookmarkEnd w:id="1223"/>
      <w:bookmarkEnd w:id="1224"/>
    </w:p>
    <w:p>
      <w:pPr>
        <w:spacing w:line="480" w:lineRule="exact"/>
        <w:rPr>
          <w:rFonts w:ascii="黑体" w:eastAsia="黑体"/>
          <w:color w:val="auto"/>
          <w:sz w:val="24"/>
          <w:highlight w:val="none"/>
        </w:rPr>
      </w:pPr>
    </w:p>
    <w:p>
      <w:pPr>
        <w:spacing w:beforeLines="100" w:afterLines="100" w:line="480" w:lineRule="exact"/>
        <w:jc w:val="center"/>
        <w:rPr>
          <w:rFonts w:ascii="黑体" w:eastAsia="黑体"/>
          <w:color w:val="auto"/>
          <w:sz w:val="28"/>
          <w:szCs w:val="28"/>
          <w:highlight w:val="none"/>
        </w:rPr>
      </w:pPr>
      <w:r>
        <w:rPr>
          <w:rFonts w:hint="eastAsia" w:ascii="黑体" w:eastAsia="黑体"/>
          <w:color w:val="auto"/>
          <w:sz w:val="28"/>
          <w:szCs w:val="28"/>
          <w:highlight w:val="none"/>
        </w:rPr>
        <w:t>投标文件问题的澄清函</w:t>
      </w:r>
    </w:p>
    <w:p>
      <w:pPr>
        <w:spacing w:line="400" w:lineRule="exact"/>
        <w:ind w:firstLine="5355" w:firstLineChars="2550"/>
        <w:rPr>
          <w:color w:val="auto"/>
          <w:highlight w:val="none"/>
          <w:u w:val="single"/>
        </w:rPr>
      </w:pPr>
      <w:r>
        <w:rPr>
          <w:rFonts w:hint="eastAsia"/>
          <w:color w:val="auto"/>
          <w:highlight w:val="none"/>
        </w:rPr>
        <w:t>编号：</w:t>
      </w:r>
    </w:p>
    <w:p>
      <w:pPr>
        <w:spacing w:line="480" w:lineRule="exact"/>
        <w:rPr>
          <w:color w:val="auto"/>
          <w:highlight w:val="none"/>
        </w:rPr>
      </w:pPr>
      <w:r>
        <w:rPr>
          <w:rFonts w:hint="eastAsia"/>
          <w:color w:val="auto"/>
          <w:highlight w:val="none"/>
          <w:u w:val="single"/>
          <w:lang w:val="en-US" w:eastAsia="zh-CN"/>
        </w:rPr>
        <w:t xml:space="preserve">     </w:t>
      </w:r>
      <w:r>
        <w:rPr>
          <w:rFonts w:hint="eastAsia"/>
          <w:color w:val="auto"/>
          <w:highlight w:val="none"/>
        </w:rPr>
        <w:t>（项目名称）</w:t>
      </w:r>
      <w:r>
        <w:rPr>
          <w:rFonts w:hint="eastAsia"/>
          <w:color w:val="auto"/>
          <w:highlight w:val="none"/>
          <w:u w:val="single"/>
          <w:lang w:val="en-US" w:eastAsia="zh-CN"/>
        </w:rPr>
        <w:t xml:space="preserve">     </w:t>
      </w:r>
      <w:r>
        <w:rPr>
          <w:rFonts w:hint="eastAsia"/>
          <w:color w:val="auto"/>
          <w:highlight w:val="none"/>
        </w:rPr>
        <w:t>（标段名称）施工招标评标委员会：</w:t>
      </w:r>
    </w:p>
    <w:p>
      <w:pPr>
        <w:spacing w:line="480" w:lineRule="exact"/>
        <w:ind w:firstLine="420" w:firstLineChars="200"/>
        <w:rPr>
          <w:color w:val="auto"/>
          <w:highlight w:val="none"/>
        </w:rPr>
      </w:pPr>
      <w:r>
        <w:rPr>
          <w:rFonts w:hint="eastAsia"/>
          <w:color w:val="auto"/>
          <w:highlight w:val="none"/>
        </w:rPr>
        <w:t>投标文件问题澄清通知（编号：</w:t>
      </w:r>
      <w:r>
        <w:rPr>
          <w:rFonts w:hint="eastAsia"/>
          <w:color w:val="auto"/>
          <w:highlight w:val="none"/>
          <w:u w:val="single"/>
          <w:lang w:val="en-US" w:eastAsia="zh-CN"/>
        </w:rPr>
        <w:t xml:space="preserve">     </w:t>
      </w:r>
      <w:r>
        <w:rPr>
          <w:rFonts w:hint="eastAsia"/>
          <w:color w:val="auto"/>
          <w:highlight w:val="none"/>
        </w:rPr>
        <w:t>）已收悉，现澄清、说明或者补正如下：</w:t>
      </w:r>
    </w:p>
    <w:p>
      <w:pPr>
        <w:spacing w:line="480" w:lineRule="exact"/>
        <w:ind w:firstLine="420" w:firstLineChars="200"/>
        <w:rPr>
          <w:color w:val="auto"/>
          <w:highlight w:val="none"/>
        </w:rPr>
      </w:pPr>
      <w:r>
        <w:rPr>
          <w:rFonts w:hint="eastAsia"/>
          <w:color w:val="auto"/>
          <w:highlight w:val="none"/>
        </w:rPr>
        <w:t>1.</w:t>
      </w:r>
    </w:p>
    <w:p>
      <w:pPr>
        <w:spacing w:line="480" w:lineRule="exact"/>
        <w:ind w:firstLine="420" w:firstLineChars="200"/>
        <w:rPr>
          <w:color w:val="auto"/>
          <w:highlight w:val="none"/>
        </w:rPr>
      </w:pPr>
      <w:r>
        <w:rPr>
          <w:rFonts w:hint="eastAsia"/>
          <w:color w:val="auto"/>
          <w:highlight w:val="none"/>
        </w:rPr>
        <w:t>2.</w:t>
      </w:r>
    </w:p>
    <w:p>
      <w:pPr>
        <w:spacing w:line="480" w:lineRule="exact"/>
        <w:ind w:firstLine="420" w:firstLineChars="200"/>
        <w:rPr>
          <w:color w:val="auto"/>
          <w:highlight w:val="none"/>
        </w:rPr>
      </w:pPr>
    </w:p>
    <w:p>
      <w:pPr>
        <w:spacing w:line="480" w:lineRule="exact"/>
        <w:ind w:firstLine="420" w:firstLineChars="200"/>
        <w:rPr>
          <w:color w:val="auto"/>
          <w:highlight w:val="none"/>
        </w:rPr>
      </w:pPr>
      <w:r>
        <w:rPr>
          <w:rFonts w:hint="eastAsia"/>
          <w:color w:val="auto"/>
          <w:highlight w:val="none"/>
        </w:rPr>
        <w:t>……</w:t>
      </w:r>
    </w:p>
    <w:p>
      <w:pPr>
        <w:spacing w:line="480" w:lineRule="exact"/>
        <w:ind w:firstLine="420" w:firstLineChars="200"/>
        <w:rPr>
          <w:color w:val="auto"/>
          <w:highlight w:val="none"/>
        </w:rPr>
      </w:pPr>
    </w:p>
    <w:p>
      <w:pPr>
        <w:spacing w:line="480" w:lineRule="exact"/>
        <w:ind w:firstLine="420" w:firstLineChars="200"/>
        <w:rPr>
          <w:color w:val="auto"/>
          <w:highlight w:val="none"/>
        </w:rPr>
      </w:pPr>
    </w:p>
    <w:p>
      <w:pPr>
        <w:spacing w:line="480" w:lineRule="exact"/>
        <w:ind w:firstLine="420" w:firstLineChars="200"/>
        <w:rPr>
          <w:color w:val="auto"/>
          <w:highlight w:val="none"/>
        </w:rPr>
      </w:pPr>
    </w:p>
    <w:p>
      <w:pPr>
        <w:spacing w:line="480" w:lineRule="exact"/>
        <w:ind w:firstLine="420" w:firstLineChars="200"/>
        <w:rPr>
          <w:color w:val="auto"/>
          <w:highlight w:val="none"/>
        </w:rPr>
      </w:pPr>
    </w:p>
    <w:p>
      <w:pPr>
        <w:spacing w:line="480" w:lineRule="exact"/>
        <w:ind w:firstLine="420" w:firstLineChars="200"/>
        <w:rPr>
          <w:color w:val="auto"/>
          <w:highlight w:val="none"/>
        </w:rPr>
      </w:pPr>
    </w:p>
    <w:p>
      <w:pPr>
        <w:spacing w:line="480" w:lineRule="exact"/>
        <w:ind w:firstLine="420" w:firstLineChars="200"/>
        <w:rPr>
          <w:color w:val="auto"/>
          <w:highlight w:val="none"/>
        </w:rPr>
      </w:pPr>
    </w:p>
    <w:p>
      <w:pPr>
        <w:wordWrap w:val="0"/>
        <w:spacing w:line="480" w:lineRule="exact"/>
        <w:ind w:right="105" w:firstLine="420" w:firstLineChars="200"/>
        <w:jc w:val="right"/>
        <w:rPr>
          <w:rFonts w:ascii="宋体" w:hAnsi="宋体"/>
          <w:color w:val="auto"/>
          <w:highlight w:val="none"/>
        </w:rPr>
      </w:pPr>
      <w:r>
        <w:rPr>
          <w:rFonts w:hint="eastAsia" w:ascii="宋体" w:hAnsi="宋体"/>
          <w:color w:val="auto"/>
          <w:highlight w:val="none"/>
        </w:rPr>
        <w:t>投标人：（盖单位章）</w:t>
      </w:r>
    </w:p>
    <w:p>
      <w:pPr>
        <w:wordWrap w:val="0"/>
        <w:spacing w:beforeLines="50" w:afterLines="50" w:line="480" w:lineRule="exact"/>
        <w:ind w:right="105"/>
        <w:jc w:val="right"/>
        <w:rPr>
          <w:rFonts w:ascii="宋体" w:hAnsi="宋体"/>
          <w:color w:val="auto"/>
          <w:highlight w:val="none"/>
        </w:rPr>
      </w:pPr>
      <w:r>
        <w:rPr>
          <w:rFonts w:hint="eastAsia" w:ascii="宋体" w:hAnsi="宋体"/>
          <w:color w:val="auto"/>
          <w:highlight w:val="none"/>
        </w:rPr>
        <w:t>法定代表人：（签字）</w:t>
      </w:r>
    </w:p>
    <w:p>
      <w:pPr>
        <w:spacing w:line="480" w:lineRule="exact"/>
        <w:ind w:firstLine="7455" w:firstLineChars="3550"/>
        <w:rPr>
          <w:rFonts w:ascii="宋体" w:hAnsi="宋体"/>
          <w:color w:val="auto"/>
          <w:highlight w:val="none"/>
        </w:rPr>
      </w:pPr>
      <w:r>
        <w:rPr>
          <w:rFonts w:hint="eastAsia" w:ascii="宋体" w:hAnsi="宋体"/>
          <w:color w:val="auto"/>
          <w:highlight w:val="none"/>
        </w:rPr>
        <w:t>年</w:t>
      </w:r>
      <w:r>
        <w:rPr>
          <w:rFonts w:hint="eastAsia" w:ascii="宋体" w:hAnsi="宋体"/>
          <w:color w:val="auto"/>
          <w:highlight w:val="none"/>
          <w:lang w:val="en-US" w:eastAsia="zh-CN"/>
        </w:rPr>
        <w:t xml:space="preserve">  </w:t>
      </w:r>
      <w:r>
        <w:rPr>
          <w:rFonts w:hint="eastAsia" w:ascii="宋体" w:hAnsi="宋体"/>
          <w:color w:val="auto"/>
          <w:highlight w:val="none"/>
        </w:rPr>
        <w:t>月</w:t>
      </w:r>
      <w:r>
        <w:rPr>
          <w:rFonts w:hint="eastAsia" w:ascii="宋体" w:hAnsi="宋体"/>
          <w:color w:val="auto"/>
          <w:highlight w:val="none"/>
          <w:lang w:val="en-US" w:eastAsia="zh-CN"/>
        </w:rPr>
        <w:t xml:space="preserve">  </w:t>
      </w:r>
      <w:r>
        <w:rPr>
          <w:rFonts w:hint="eastAsia" w:ascii="宋体" w:hAnsi="宋体"/>
          <w:color w:val="auto"/>
          <w:highlight w:val="none"/>
        </w:rPr>
        <w:t>日</w:t>
      </w:r>
    </w:p>
    <w:p>
      <w:pPr>
        <w:spacing w:line="480" w:lineRule="exact"/>
        <w:ind w:firstLine="5775" w:firstLineChars="2750"/>
        <w:rPr>
          <w:color w:val="auto"/>
          <w:highlight w:val="none"/>
        </w:rPr>
      </w:pPr>
    </w:p>
    <w:p>
      <w:pPr>
        <w:spacing w:line="480" w:lineRule="exact"/>
        <w:ind w:firstLine="5775" w:firstLineChars="2750"/>
        <w:rPr>
          <w:color w:val="auto"/>
          <w:highlight w:val="none"/>
        </w:rPr>
      </w:pPr>
    </w:p>
    <w:p>
      <w:pPr>
        <w:spacing w:line="480" w:lineRule="exact"/>
        <w:ind w:firstLine="5775" w:firstLineChars="2750"/>
        <w:rPr>
          <w:color w:val="auto"/>
          <w:highlight w:val="none"/>
        </w:rPr>
      </w:pPr>
    </w:p>
    <w:p>
      <w:pPr>
        <w:spacing w:line="480" w:lineRule="exact"/>
        <w:ind w:firstLine="5775" w:firstLineChars="2750"/>
        <w:rPr>
          <w:color w:val="auto"/>
          <w:highlight w:val="none"/>
        </w:rPr>
      </w:pPr>
    </w:p>
    <w:p>
      <w:pPr>
        <w:spacing w:line="480" w:lineRule="exact"/>
        <w:ind w:firstLine="5775" w:firstLineChars="2750"/>
        <w:rPr>
          <w:color w:val="auto"/>
          <w:highlight w:val="none"/>
        </w:rPr>
      </w:pPr>
    </w:p>
    <w:p>
      <w:pPr>
        <w:spacing w:line="440" w:lineRule="exact"/>
        <w:jc w:val="left"/>
        <w:rPr>
          <w:rFonts w:ascii="宋体" w:hAnsi="宋体" w:cs="宋体"/>
          <w:color w:val="auto"/>
          <w:szCs w:val="21"/>
          <w:highlight w:val="none"/>
        </w:rPr>
      </w:pPr>
    </w:p>
    <w:p>
      <w:pPr>
        <w:spacing w:line="400" w:lineRule="exact"/>
        <w:rPr>
          <w:rFonts w:ascii="宋体" w:hAnsi="宋体" w:cs="宋体"/>
          <w:color w:val="auto"/>
          <w:highlight w:val="none"/>
        </w:rPr>
      </w:pPr>
    </w:p>
    <w:p>
      <w:pPr>
        <w:pStyle w:val="4"/>
        <w:outlineLvl w:val="2"/>
        <w:rPr>
          <w:rFonts w:hint="eastAsia" w:ascii="黑体" w:hAnsi="黑体" w:eastAsia="黑体" w:cs="黑体"/>
          <w:b w:val="0"/>
          <w:bCs/>
          <w:color w:val="auto"/>
          <w:sz w:val="24"/>
          <w:szCs w:val="24"/>
          <w:highlight w:val="none"/>
        </w:rPr>
      </w:pPr>
      <w:bookmarkStart w:id="1225" w:name="_Toc144974551"/>
      <w:bookmarkStart w:id="1226" w:name="_Toc168475699"/>
      <w:bookmarkStart w:id="1227" w:name="_Toc221950335"/>
      <w:bookmarkStart w:id="1228" w:name="_Toc387753571"/>
      <w:bookmarkStart w:id="1229" w:name="_Toc168476102"/>
      <w:bookmarkStart w:id="1230" w:name="_Toc1124"/>
      <w:bookmarkStart w:id="1231" w:name="_Toc7587"/>
      <w:bookmarkStart w:id="1232" w:name="_Toc6710"/>
      <w:bookmarkStart w:id="1233" w:name="_Toc362692221"/>
      <w:bookmarkStart w:id="1234" w:name="_Toc520"/>
      <w:bookmarkStart w:id="1235" w:name="_Toc1647"/>
      <w:bookmarkStart w:id="1236" w:name="_Toc21120"/>
      <w:bookmarkStart w:id="1237" w:name="_Toc1297060072"/>
      <w:r>
        <w:rPr>
          <w:rFonts w:hint="eastAsia" w:ascii="黑体" w:hAnsi="黑体" w:eastAsia="黑体" w:cs="黑体"/>
          <w:b w:val="0"/>
          <w:bCs/>
          <w:color w:val="auto"/>
          <w:sz w:val="24"/>
          <w:szCs w:val="24"/>
          <w:highlight w:val="none"/>
        </w:rPr>
        <w:t>附表九：</w:t>
      </w:r>
      <w:bookmarkEnd w:id="1225"/>
      <w:bookmarkEnd w:id="1226"/>
      <w:bookmarkEnd w:id="1227"/>
      <w:bookmarkEnd w:id="1228"/>
      <w:bookmarkEnd w:id="1229"/>
      <w:bookmarkStart w:id="1238" w:name="_Toc221950336"/>
      <w:r>
        <w:rPr>
          <w:rFonts w:hint="eastAsia" w:ascii="黑体" w:hAnsi="黑体" w:eastAsia="黑体" w:cs="黑体"/>
          <w:b w:val="0"/>
          <w:bCs/>
          <w:color w:val="auto"/>
          <w:sz w:val="24"/>
          <w:szCs w:val="24"/>
          <w:highlight w:val="none"/>
        </w:rPr>
        <w:t>中标通知书</w:t>
      </w:r>
      <w:bookmarkEnd w:id="1230"/>
      <w:bookmarkEnd w:id="1231"/>
      <w:bookmarkEnd w:id="1232"/>
      <w:bookmarkEnd w:id="1233"/>
      <w:bookmarkEnd w:id="1234"/>
      <w:bookmarkEnd w:id="1235"/>
      <w:bookmarkEnd w:id="1236"/>
      <w:bookmarkEnd w:id="1237"/>
      <w:bookmarkEnd w:id="1238"/>
    </w:p>
    <w:p>
      <w:pPr>
        <w:spacing w:beforeLines="100" w:afterLines="100" w:line="480" w:lineRule="exact"/>
        <w:jc w:val="center"/>
        <w:rPr>
          <w:rFonts w:ascii="仿宋_GB2312" w:eastAsia="仿宋_GB2312"/>
          <w:color w:val="auto"/>
          <w:szCs w:val="21"/>
          <w:highlight w:val="none"/>
        </w:rPr>
      </w:pPr>
      <w:r>
        <w:rPr>
          <w:rFonts w:hint="eastAsia" w:ascii="黑体" w:eastAsia="黑体"/>
          <w:color w:val="auto"/>
          <w:sz w:val="28"/>
          <w:szCs w:val="28"/>
          <w:highlight w:val="none"/>
        </w:rPr>
        <w:t>中标通知书</w:t>
      </w:r>
    </w:p>
    <w:p>
      <w:pPr>
        <w:spacing w:beforeLines="100" w:afterLines="100" w:line="480" w:lineRule="exact"/>
        <w:rPr>
          <w:rFonts w:ascii="宋体" w:hAnsi="宋体"/>
          <w:color w:val="auto"/>
          <w:sz w:val="28"/>
          <w:szCs w:val="28"/>
          <w:highlight w:val="none"/>
        </w:rPr>
      </w:pPr>
      <w:r>
        <w:rPr>
          <w:rFonts w:hint="eastAsia" w:ascii="宋体" w:hAnsi="宋体"/>
          <w:color w:val="auto"/>
          <w:szCs w:val="21"/>
          <w:highlight w:val="none"/>
        </w:rPr>
        <w:t>招标编号：</w:t>
      </w:r>
    </w:p>
    <w:p>
      <w:pPr>
        <w:spacing w:line="480" w:lineRule="exact"/>
        <w:rPr>
          <w:color w:val="auto"/>
          <w:highlight w:val="none"/>
        </w:rPr>
      </w:pPr>
      <w:r>
        <w:rPr>
          <w:rFonts w:hint="eastAsia"/>
          <w:color w:val="auto"/>
          <w:highlight w:val="none"/>
          <w:u w:val="single"/>
          <w:lang w:val="en-US" w:eastAsia="zh-CN"/>
        </w:rPr>
        <w:t xml:space="preserve">     </w:t>
      </w:r>
      <w:r>
        <w:rPr>
          <w:rFonts w:hint="eastAsia"/>
          <w:color w:val="auto"/>
          <w:highlight w:val="none"/>
        </w:rPr>
        <w:t>（中标人名称）：</w:t>
      </w:r>
    </w:p>
    <w:p>
      <w:pPr>
        <w:spacing w:line="480" w:lineRule="exact"/>
        <w:rPr>
          <w:color w:val="auto"/>
          <w:highlight w:val="none"/>
        </w:rPr>
      </w:pPr>
    </w:p>
    <w:p>
      <w:pPr>
        <w:spacing w:line="480" w:lineRule="exact"/>
        <w:ind w:firstLine="420" w:firstLineChars="200"/>
        <w:rPr>
          <w:color w:val="auto"/>
          <w:highlight w:val="none"/>
        </w:rPr>
      </w:pPr>
      <w:r>
        <w:rPr>
          <w:rFonts w:hint="eastAsia"/>
          <w:color w:val="auto"/>
          <w:highlight w:val="none"/>
        </w:rPr>
        <w:t>你方于</w:t>
      </w:r>
      <w:r>
        <w:rPr>
          <w:rFonts w:hint="eastAsia"/>
          <w:color w:val="auto"/>
          <w:highlight w:val="none"/>
          <w:u w:val="single"/>
          <w:lang w:val="en-US" w:eastAsia="zh-CN"/>
        </w:rPr>
        <w:t xml:space="preserve">     </w:t>
      </w:r>
      <w:r>
        <w:rPr>
          <w:rFonts w:hint="eastAsia"/>
          <w:color w:val="auto"/>
          <w:highlight w:val="none"/>
        </w:rPr>
        <w:t>（投标日期）所递交的</w:t>
      </w:r>
      <w:r>
        <w:rPr>
          <w:rFonts w:hint="eastAsia"/>
          <w:color w:val="auto"/>
          <w:highlight w:val="none"/>
          <w:u w:val="single"/>
          <w:lang w:val="en-US" w:eastAsia="zh-CN"/>
        </w:rPr>
        <w:t xml:space="preserve">     </w:t>
      </w:r>
      <w:r>
        <w:rPr>
          <w:rFonts w:hint="eastAsia"/>
          <w:color w:val="auto"/>
          <w:highlight w:val="none"/>
        </w:rPr>
        <w:t>（项目名称）</w:t>
      </w:r>
      <w:r>
        <w:rPr>
          <w:rFonts w:hint="eastAsia"/>
          <w:color w:val="auto"/>
          <w:highlight w:val="none"/>
          <w:u w:val="single"/>
          <w:lang w:val="en-US" w:eastAsia="zh-CN"/>
        </w:rPr>
        <w:t xml:space="preserve">     </w:t>
      </w:r>
      <w:r>
        <w:rPr>
          <w:rFonts w:hint="eastAsia"/>
          <w:color w:val="auto"/>
          <w:highlight w:val="none"/>
        </w:rPr>
        <w:t>（标段名称） 施工的投标文件已被我方接受，被确定为中标人。</w:t>
      </w:r>
    </w:p>
    <w:p>
      <w:pPr>
        <w:spacing w:line="480" w:lineRule="exact"/>
        <w:ind w:firstLine="420" w:firstLineChars="200"/>
        <w:rPr>
          <w:color w:val="auto"/>
          <w:highlight w:val="none"/>
        </w:rPr>
      </w:pPr>
      <w:r>
        <w:rPr>
          <w:rFonts w:hint="eastAsia"/>
          <w:color w:val="auto"/>
          <w:highlight w:val="none"/>
        </w:rPr>
        <w:t>中标价：</w:t>
      </w:r>
      <w:r>
        <w:rPr>
          <w:rFonts w:hint="eastAsia"/>
          <w:color w:val="auto"/>
          <w:highlight w:val="none"/>
          <w:u w:val="single"/>
          <w:lang w:val="en-US" w:eastAsia="zh-CN"/>
        </w:rPr>
        <w:t xml:space="preserve">     </w:t>
      </w:r>
      <w:r>
        <w:rPr>
          <w:rFonts w:hint="eastAsia"/>
          <w:color w:val="auto"/>
          <w:highlight w:val="none"/>
        </w:rPr>
        <w:t>元。</w:t>
      </w:r>
    </w:p>
    <w:p>
      <w:pPr>
        <w:spacing w:line="480" w:lineRule="exact"/>
        <w:ind w:firstLine="420" w:firstLineChars="200"/>
        <w:rPr>
          <w:color w:val="auto"/>
          <w:highlight w:val="none"/>
        </w:rPr>
      </w:pPr>
      <w:r>
        <w:rPr>
          <w:rFonts w:hint="eastAsia"/>
          <w:color w:val="auto"/>
          <w:highlight w:val="none"/>
        </w:rPr>
        <w:t>工  期：</w:t>
      </w:r>
      <w:r>
        <w:rPr>
          <w:rFonts w:hint="eastAsia"/>
          <w:color w:val="auto"/>
          <w:highlight w:val="none"/>
          <w:u w:val="single"/>
          <w:lang w:val="en-US" w:eastAsia="zh-CN"/>
        </w:rPr>
        <w:t xml:space="preserve">     </w:t>
      </w:r>
      <w:r>
        <w:rPr>
          <w:rFonts w:hint="eastAsia"/>
          <w:color w:val="auto"/>
          <w:highlight w:val="none"/>
        </w:rPr>
        <w:t>日历天。</w:t>
      </w:r>
    </w:p>
    <w:p>
      <w:pPr>
        <w:spacing w:line="480" w:lineRule="exact"/>
        <w:ind w:firstLine="420" w:firstLineChars="200"/>
        <w:rPr>
          <w:color w:val="auto"/>
          <w:highlight w:val="none"/>
        </w:rPr>
      </w:pPr>
      <w:r>
        <w:rPr>
          <w:rFonts w:hint="eastAsia"/>
          <w:color w:val="auto"/>
          <w:highlight w:val="none"/>
        </w:rPr>
        <w:t>工程质量：</w:t>
      </w:r>
      <w:r>
        <w:rPr>
          <w:rFonts w:hint="eastAsia"/>
          <w:color w:val="auto"/>
          <w:highlight w:val="none"/>
          <w:u w:val="single"/>
          <w:lang w:val="en-US" w:eastAsia="zh-CN"/>
        </w:rPr>
        <w:t xml:space="preserve">     </w:t>
      </w:r>
      <w:r>
        <w:rPr>
          <w:rFonts w:hint="eastAsia"/>
          <w:color w:val="auto"/>
          <w:highlight w:val="none"/>
        </w:rPr>
        <w:t>。</w:t>
      </w:r>
    </w:p>
    <w:p>
      <w:pPr>
        <w:spacing w:line="480" w:lineRule="exact"/>
        <w:ind w:firstLine="420" w:firstLineChars="200"/>
        <w:rPr>
          <w:color w:val="auto"/>
          <w:highlight w:val="none"/>
        </w:rPr>
      </w:pPr>
      <w:r>
        <w:rPr>
          <w:rFonts w:hint="eastAsia"/>
          <w:color w:val="auto"/>
          <w:highlight w:val="none"/>
        </w:rPr>
        <w:t>项目负责人：</w:t>
      </w:r>
      <w:r>
        <w:rPr>
          <w:rFonts w:hint="eastAsia"/>
          <w:color w:val="auto"/>
          <w:highlight w:val="none"/>
          <w:u w:val="single"/>
          <w:lang w:val="en-US" w:eastAsia="zh-CN"/>
        </w:rPr>
        <w:t xml:space="preserve">     </w:t>
      </w:r>
      <w:r>
        <w:rPr>
          <w:rFonts w:hint="eastAsia"/>
          <w:color w:val="auto"/>
          <w:highlight w:val="none"/>
        </w:rPr>
        <w:t>（姓名）。</w:t>
      </w:r>
    </w:p>
    <w:p>
      <w:pPr>
        <w:spacing w:line="480" w:lineRule="exact"/>
        <w:ind w:firstLine="420" w:firstLineChars="200"/>
        <w:rPr>
          <w:color w:val="auto"/>
          <w:highlight w:val="none"/>
        </w:rPr>
      </w:pPr>
      <w:r>
        <w:rPr>
          <w:rFonts w:hint="eastAsia"/>
          <w:color w:val="auto"/>
          <w:highlight w:val="none"/>
        </w:rPr>
        <w:t>请你方在接到本通知书后的日内到（指定地点）与我方签订施工承包合同，在此之前按招标文件第二章“投标人须知”</w:t>
      </w:r>
      <w:r>
        <w:rPr>
          <w:rFonts w:hint="eastAsia" w:ascii="宋体" w:hAnsi="宋体" w:cs="宋体"/>
          <w:color w:val="auto"/>
          <w:szCs w:val="21"/>
          <w:highlight w:val="none"/>
        </w:rPr>
        <w:t>第</w:t>
      </w:r>
      <w:r>
        <w:rPr>
          <w:rFonts w:cs="宋体"/>
          <w:color w:val="auto"/>
          <w:szCs w:val="21"/>
          <w:highlight w:val="none"/>
        </w:rPr>
        <w:t>7</w:t>
      </w:r>
      <w:r>
        <w:rPr>
          <w:rFonts w:hint="eastAsia" w:ascii="宋体" w:hAnsi="宋体" w:cs="宋体"/>
          <w:color w:val="auto"/>
          <w:szCs w:val="21"/>
          <w:highlight w:val="none"/>
        </w:rPr>
        <w:t>.</w:t>
      </w:r>
      <w:r>
        <w:rPr>
          <w:rFonts w:cs="宋体"/>
          <w:color w:val="auto"/>
          <w:szCs w:val="21"/>
          <w:highlight w:val="none"/>
        </w:rPr>
        <w:t>3</w:t>
      </w:r>
      <w:r>
        <w:rPr>
          <w:rFonts w:hint="eastAsia" w:ascii="宋体" w:hAnsi="宋体" w:cs="宋体"/>
          <w:color w:val="auto"/>
          <w:szCs w:val="21"/>
          <w:highlight w:val="none"/>
        </w:rPr>
        <w:t>款</w:t>
      </w:r>
      <w:r>
        <w:rPr>
          <w:rFonts w:hint="eastAsia"/>
          <w:color w:val="auto"/>
          <w:highlight w:val="none"/>
        </w:rPr>
        <w:t>的规定向我方提交履约担保。</w:t>
      </w:r>
    </w:p>
    <w:p>
      <w:pPr>
        <w:spacing w:line="480" w:lineRule="exact"/>
        <w:ind w:firstLine="420" w:firstLineChars="200"/>
        <w:rPr>
          <w:color w:val="auto"/>
          <w:highlight w:val="none"/>
        </w:rPr>
      </w:pPr>
      <w:r>
        <w:rPr>
          <w:rFonts w:hint="eastAsia"/>
          <w:color w:val="auto"/>
          <w:highlight w:val="none"/>
        </w:rPr>
        <w:t>随附的投标文件澄清、说明、补正事项纪要（如果有），是本中标通知书的组成部分。</w:t>
      </w:r>
    </w:p>
    <w:p>
      <w:pPr>
        <w:spacing w:line="480" w:lineRule="exact"/>
        <w:ind w:firstLine="420" w:firstLineChars="200"/>
        <w:rPr>
          <w:color w:val="auto"/>
          <w:highlight w:val="none"/>
        </w:rPr>
      </w:pPr>
      <w:r>
        <w:rPr>
          <w:rFonts w:hint="eastAsia"/>
          <w:color w:val="auto"/>
          <w:highlight w:val="none"/>
        </w:rPr>
        <w:t>特此通知。</w:t>
      </w:r>
    </w:p>
    <w:p>
      <w:pPr>
        <w:spacing w:line="480" w:lineRule="exact"/>
        <w:ind w:firstLine="420" w:firstLineChars="200"/>
        <w:rPr>
          <w:color w:val="auto"/>
          <w:highlight w:val="none"/>
        </w:rPr>
      </w:pPr>
      <w:r>
        <w:rPr>
          <w:color w:val="auto"/>
          <w:highlight w:val="none"/>
        </w:rPr>
        <w:t>附：澄清、说明、补正事项纪要</w:t>
      </w:r>
    </w:p>
    <w:p>
      <w:pPr>
        <w:spacing w:line="480" w:lineRule="exact"/>
        <w:ind w:firstLine="420" w:firstLineChars="200"/>
        <w:rPr>
          <w:color w:val="auto"/>
          <w:highlight w:val="none"/>
        </w:rPr>
      </w:pPr>
    </w:p>
    <w:p>
      <w:pPr>
        <w:spacing w:line="480" w:lineRule="exact"/>
        <w:ind w:firstLine="420" w:firstLineChars="200"/>
        <w:rPr>
          <w:color w:val="auto"/>
          <w:highlight w:val="none"/>
        </w:rPr>
      </w:pPr>
    </w:p>
    <w:p>
      <w:pPr>
        <w:wordWrap w:val="0"/>
        <w:spacing w:line="480" w:lineRule="exact"/>
        <w:ind w:firstLine="420" w:firstLineChars="200"/>
        <w:jc w:val="right"/>
        <w:rPr>
          <w:rFonts w:ascii="宋体" w:hAnsi="宋体"/>
          <w:color w:val="auto"/>
          <w:highlight w:val="none"/>
        </w:rPr>
      </w:pPr>
      <w:r>
        <w:rPr>
          <w:rFonts w:hint="eastAsia" w:ascii="宋体" w:hAnsi="宋体"/>
          <w:color w:val="auto"/>
          <w:highlight w:val="none"/>
        </w:rPr>
        <w:t xml:space="preserve">招标人：（盖单位章） </w:t>
      </w:r>
    </w:p>
    <w:p>
      <w:pPr>
        <w:wordWrap w:val="0"/>
        <w:spacing w:line="480" w:lineRule="exact"/>
        <w:jc w:val="right"/>
        <w:rPr>
          <w:color w:val="auto"/>
          <w:highlight w:val="none"/>
        </w:rPr>
      </w:pPr>
      <w:r>
        <w:rPr>
          <w:rFonts w:hint="eastAsia" w:ascii="宋体" w:hAnsi="宋体"/>
          <w:color w:val="auto"/>
          <w:highlight w:val="none"/>
        </w:rPr>
        <w:t>法定代表人：</w:t>
      </w:r>
      <w:r>
        <w:rPr>
          <w:rFonts w:hint="eastAsia"/>
          <w:color w:val="auto"/>
          <w:highlight w:val="none"/>
        </w:rPr>
        <w:t xml:space="preserve">（签字） </w:t>
      </w:r>
    </w:p>
    <w:p>
      <w:pPr>
        <w:wordWrap w:val="0"/>
        <w:spacing w:line="480" w:lineRule="exact"/>
        <w:ind w:firstLine="5145" w:firstLineChars="2450"/>
        <w:jc w:val="right"/>
        <w:rPr>
          <w:color w:val="auto"/>
          <w:highlight w:val="none"/>
        </w:rPr>
      </w:pPr>
      <w:r>
        <w:rPr>
          <w:rFonts w:hint="eastAsia"/>
          <w:color w:val="auto"/>
          <w:highlight w:val="none"/>
        </w:rPr>
        <w:t xml:space="preserve">年月日  </w:t>
      </w:r>
    </w:p>
    <w:p>
      <w:pPr>
        <w:spacing w:line="480" w:lineRule="exact"/>
        <w:ind w:firstLine="5145" w:firstLineChars="2450"/>
        <w:rPr>
          <w:color w:val="auto"/>
          <w:highlight w:val="none"/>
        </w:rPr>
      </w:pPr>
    </w:p>
    <w:p>
      <w:pPr>
        <w:spacing w:line="540" w:lineRule="exact"/>
        <w:rPr>
          <w:color w:val="auto"/>
          <w:highlight w:val="none"/>
        </w:rPr>
      </w:pPr>
    </w:p>
    <w:p>
      <w:pPr>
        <w:spacing w:line="540" w:lineRule="exact"/>
        <w:rPr>
          <w:color w:val="auto"/>
          <w:highlight w:val="none"/>
        </w:rPr>
      </w:pPr>
      <w:r>
        <w:rPr>
          <w:rFonts w:hint="eastAsia" w:ascii="宋体" w:hAnsi="宋体" w:cs="宋体"/>
          <w:color w:val="auto"/>
          <w:highlight w:val="none"/>
        </w:rPr>
        <w:t>备注：最终以电子交易平台生成版本为准。</w:t>
      </w:r>
    </w:p>
    <w:p>
      <w:pPr>
        <w:spacing w:line="540" w:lineRule="exact"/>
        <w:rPr>
          <w:rFonts w:ascii="宋体" w:hAnsi="宋体" w:cs="宋体"/>
          <w:color w:val="auto"/>
          <w:szCs w:val="21"/>
          <w:highlight w:val="none"/>
        </w:rPr>
      </w:pPr>
    </w:p>
    <w:p>
      <w:pPr>
        <w:rPr>
          <w:rFonts w:hint="eastAsia" w:ascii="黑体" w:hAnsi="黑体" w:eastAsia="黑体" w:cs="黑体"/>
          <w:b w:val="0"/>
          <w:bCs/>
          <w:color w:val="auto"/>
          <w:sz w:val="24"/>
          <w:szCs w:val="24"/>
          <w:highlight w:val="none"/>
        </w:rPr>
      </w:pPr>
      <w:bookmarkStart w:id="1239" w:name="_Toc168476103"/>
      <w:bookmarkStart w:id="1240" w:name="_Toc144974552"/>
      <w:bookmarkStart w:id="1241" w:name="_Toc168475700"/>
      <w:bookmarkStart w:id="1242" w:name="_Toc221950348"/>
      <w:bookmarkStart w:id="1243" w:name="_Toc387753572"/>
      <w:bookmarkStart w:id="1244" w:name="_Toc24574"/>
      <w:bookmarkStart w:id="1245" w:name="_Toc6256"/>
      <w:bookmarkStart w:id="1246" w:name="_Toc1406990118"/>
      <w:bookmarkStart w:id="1247" w:name="_Toc31091"/>
      <w:bookmarkStart w:id="1248" w:name="_Toc21658"/>
      <w:bookmarkStart w:id="1249" w:name="_Toc1947001118"/>
      <w:bookmarkStart w:id="1250" w:name="_Toc21593"/>
      <w:r>
        <w:rPr>
          <w:rFonts w:hint="eastAsia" w:ascii="黑体" w:hAnsi="黑体" w:eastAsia="黑体" w:cs="黑体"/>
          <w:b w:val="0"/>
          <w:bCs/>
          <w:color w:val="auto"/>
          <w:sz w:val="24"/>
          <w:szCs w:val="24"/>
          <w:highlight w:val="none"/>
        </w:rPr>
        <w:br w:type="page"/>
      </w:r>
    </w:p>
    <w:p>
      <w:pPr>
        <w:pStyle w:val="4"/>
        <w:outlineLvl w:val="2"/>
        <w:rPr>
          <w:rFonts w:hint="eastAsia" w:ascii="黑体" w:hAnsi="黑体" w:eastAsia="黑体" w:cs="黑体"/>
          <w:b w:val="0"/>
          <w:bCs/>
          <w:color w:val="auto"/>
          <w:sz w:val="24"/>
          <w:szCs w:val="24"/>
          <w:highlight w:val="none"/>
        </w:rPr>
      </w:pPr>
      <w:bookmarkStart w:id="1251" w:name="_Toc31908"/>
      <w:r>
        <w:rPr>
          <w:rFonts w:hint="eastAsia" w:ascii="黑体" w:hAnsi="黑体" w:eastAsia="黑体" w:cs="黑体"/>
          <w:b w:val="0"/>
          <w:bCs/>
          <w:color w:val="auto"/>
          <w:sz w:val="24"/>
          <w:szCs w:val="24"/>
          <w:highlight w:val="none"/>
        </w:rPr>
        <w:t>附表十：</w:t>
      </w:r>
      <w:bookmarkEnd w:id="1239"/>
      <w:bookmarkEnd w:id="1240"/>
      <w:bookmarkEnd w:id="1241"/>
      <w:bookmarkEnd w:id="1242"/>
      <w:bookmarkEnd w:id="1243"/>
      <w:bookmarkStart w:id="1252" w:name="_Toc221950349"/>
      <w:r>
        <w:rPr>
          <w:rFonts w:hint="eastAsia" w:ascii="黑体" w:hAnsi="黑体" w:eastAsia="黑体" w:cs="黑体"/>
          <w:b w:val="0"/>
          <w:bCs/>
          <w:color w:val="auto"/>
          <w:sz w:val="24"/>
          <w:szCs w:val="24"/>
          <w:highlight w:val="none"/>
        </w:rPr>
        <w:t>中标结果通知书</w:t>
      </w:r>
      <w:bookmarkEnd w:id="1244"/>
      <w:bookmarkEnd w:id="1245"/>
      <w:bookmarkEnd w:id="1246"/>
      <w:bookmarkEnd w:id="1247"/>
      <w:bookmarkEnd w:id="1248"/>
      <w:bookmarkEnd w:id="1249"/>
      <w:bookmarkEnd w:id="1250"/>
      <w:bookmarkEnd w:id="1251"/>
      <w:bookmarkEnd w:id="1252"/>
    </w:p>
    <w:p>
      <w:pPr>
        <w:spacing w:line="400" w:lineRule="exact"/>
        <w:jc w:val="center"/>
        <w:rPr>
          <w:rFonts w:ascii="宋体" w:hAnsi="宋体" w:cs="宋体"/>
          <w:b/>
          <w:color w:val="auto"/>
          <w:sz w:val="28"/>
          <w:szCs w:val="28"/>
          <w:highlight w:val="none"/>
        </w:rPr>
      </w:pPr>
    </w:p>
    <w:p>
      <w:pPr>
        <w:spacing w:line="400" w:lineRule="exact"/>
        <w:jc w:val="center"/>
        <w:rPr>
          <w:rFonts w:ascii="黑体" w:eastAsia="黑体"/>
          <w:color w:val="auto"/>
          <w:sz w:val="28"/>
          <w:szCs w:val="28"/>
          <w:highlight w:val="none"/>
        </w:rPr>
      </w:pPr>
      <w:r>
        <w:rPr>
          <w:rFonts w:hint="eastAsia" w:ascii="黑体" w:eastAsia="黑体"/>
          <w:color w:val="auto"/>
          <w:sz w:val="28"/>
          <w:szCs w:val="28"/>
          <w:highlight w:val="none"/>
        </w:rPr>
        <w:t>中标结果通知书</w:t>
      </w:r>
    </w:p>
    <w:p>
      <w:pPr>
        <w:autoSpaceDE w:val="0"/>
        <w:autoSpaceDN w:val="0"/>
        <w:adjustRightInd w:val="0"/>
        <w:spacing w:line="200" w:lineRule="exact"/>
        <w:jc w:val="left"/>
        <w:rPr>
          <w:rFonts w:ascii="微软雅黑" w:eastAsia="微软雅黑" w:cs="微软雅黑"/>
          <w:color w:val="auto"/>
          <w:kern w:val="0"/>
          <w:sz w:val="20"/>
          <w:szCs w:val="20"/>
          <w:highlight w:val="none"/>
        </w:rPr>
      </w:pPr>
    </w:p>
    <w:p>
      <w:pPr>
        <w:autoSpaceDE w:val="0"/>
        <w:autoSpaceDN w:val="0"/>
        <w:adjustRightInd w:val="0"/>
        <w:spacing w:before="16" w:line="240" w:lineRule="exact"/>
        <w:jc w:val="left"/>
        <w:rPr>
          <w:rFonts w:ascii="微软雅黑" w:eastAsia="微软雅黑" w:cs="微软雅黑"/>
          <w:color w:val="auto"/>
          <w:kern w:val="0"/>
          <w:sz w:val="24"/>
          <w:highlight w:val="none"/>
        </w:rPr>
      </w:pPr>
    </w:p>
    <w:p>
      <w:pPr>
        <w:spacing w:line="480" w:lineRule="exact"/>
        <w:rPr>
          <w:color w:val="auto"/>
          <w:highlight w:val="none"/>
        </w:rPr>
      </w:pPr>
      <w:r>
        <w:rPr>
          <w:color w:val="auto"/>
          <w:highlight w:val="none"/>
          <w:u w:val="single"/>
        </w:rPr>
        <w:tab/>
      </w:r>
      <w:r>
        <w:rPr>
          <w:rFonts w:hint="eastAsia"/>
          <w:color w:val="auto"/>
          <w:highlight w:val="none"/>
        </w:rPr>
        <w:t>（未中标人名称）：</w:t>
      </w:r>
    </w:p>
    <w:p>
      <w:pPr>
        <w:spacing w:line="480" w:lineRule="exact"/>
        <w:ind w:firstLine="420" w:firstLineChars="200"/>
        <w:rPr>
          <w:color w:val="auto"/>
          <w:highlight w:val="none"/>
        </w:rPr>
      </w:pPr>
    </w:p>
    <w:p>
      <w:pPr>
        <w:spacing w:line="480" w:lineRule="exact"/>
        <w:ind w:firstLine="420" w:firstLineChars="200"/>
        <w:rPr>
          <w:color w:val="auto"/>
          <w:highlight w:val="none"/>
        </w:rPr>
      </w:pPr>
      <w:r>
        <w:rPr>
          <w:rFonts w:hint="eastAsia"/>
          <w:color w:val="auto"/>
          <w:highlight w:val="none"/>
        </w:rPr>
        <w:t>我方已接受</w:t>
      </w:r>
      <w:r>
        <w:rPr>
          <w:color w:val="auto"/>
          <w:highlight w:val="none"/>
          <w:u w:val="single"/>
        </w:rPr>
        <w:tab/>
      </w:r>
      <w:r>
        <w:rPr>
          <w:rFonts w:hint="eastAsia"/>
          <w:color w:val="auto"/>
          <w:highlight w:val="none"/>
          <w:u w:val="single"/>
          <w:lang w:val="en-US" w:eastAsia="zh-CN"/>
        </w:rPr>
        <w:t xml:space="preserve">     </w:t>
      </w:r>
      <w:r>
        <w:rPr>
          <w:rFonts w:hint="eastAsia"/>
          <w:color w:val="auto"/>
          <w:highlight w:val="none"/>
        </w:rPr>
        <w:t>（中标人名称）于</w:t>
      </w:r>
      <w:r>
        <w:rPr>
          <w:color w:val="auto"/>
          <w:highlight w:val="none"/>
          <w:u w:val="single"/>
        </w:rPr>
        <w:tab/>
      </w:r>
      <w:r>
        <w:rPr>
          <w:rFonts w:hint="eastAsia"/>
          <w:color w:val="auto"/>
          <w:highlight w:val="none"/>
        </w:rPr>
        <w:t>（投标日期）所递交的</w:t>
      </w:r>
      <w:r>
        <w:rPr>
          <w:rFonts w:hint="eastAsia"/>
          <w:color w:val="auto"/>
          <w:highlight w:val="none"/>
          <w:u w:val="single"/>
          <w:lang w:val="en-US" w:eastAsia="zh-CN"/>
        </w:rPr>
        <w:t xml:space="preserve">     </w:t>
      </w:r>
      <w:r>
        <w:rPr>
          <w:color w:val="auto"/>
          <w:highlight w:val="none"/>
        </w:rPr>
        <w:t>（项目名称）</w:t>
      </w:r>
      <w:r>
        <w:rPr>
          <w:rFonts w:hint="eastAsia"/>
          <w:color w:val="auto"/>
          <w:highlight w:val="none"/>
          <w:u w:val="single"/>
          <w:lang w:val="en-US" w:eastAsia="zh-CN"/>
        </w:rPr>
        <w:t xml:space="preserve">     </w:t>
      </w:r>
      <w:r>
        <w:rPr>
          <w:color w:val="auto"/>
          <w:highlight w:val="none"/>
        </w:rPr>
        <w:t>（标段名称）</w:t>
      </w:r>
      <w:r>
        <w:rPr>
          <w:rFonts w:hint="eastAsia"/>
          <w:color w:val="auto"/>
          <w:highlight w:val="none"/>
        </w:rPr>
        <w:t>施工招标的投标文件，确定</w:t>
      </w:r>
      <w:r>
        <w:rPr>
          <w:color w:val="auto"/>
          <w:highlight w:val="none"/>
          <w:u w:val="single"/>
        </w:rPr>
        <w:tab/>
      </w:r>
      <w:r>
        <w:rPr>
          <w:rFonts w:hint="eastAsia"/>
          <w:color w:val="auto"/>
          <w:highlight w:val="none"/>
        </w:rPr>
        <w:t>（中标人名称）为中标人。</w:t>
      </w:r>
    </w:p>
    <w:p>
      <w:pPr>
        <w:spacing w:line="480" w:lineRule="exact"/>
        <w:ind w:firstLine="420" w:firstLineChars="200"/>
        <w:rPr>
          <w:color w:val="auto"/>
          <w:highlight w:val="none"/>
        </w:rPr>
      </w:pPr>
      <w:r>
        <w:rPr>
          <w:rFonts w:hint="eastAsia"/>
          <w:color w:val="auto"/>
          <w:highlight w:val="none"/>
        </w:rPr>
        <w:t>感谢你单位对招标项目的参与！</w:t>
      </w:r>
    </w:p>
    <w:p>
      <w:pPr>
        <w:spacing w:line="480" w:lineRule="exact"/>
        <w:ind w:firstLine="420" w:firstLineChars="200"/>
        <w:rPr>
          <w:color w:val="auto"/>
          <w:highlight w:val="none"/>
        </w:rPr>
      </w:pPr>
    </w:p>
    <w:p>
      <w:pPr>
        <w:spacing w:line="480" w:lineRule="exact"/>
        <w:ind w:firstLine="420" w:firstLineChars="200"/>
        <w:rPr>
          <w:color w:val="auto"/>
          <w:highlight w:val="none"/>
        </w:rPr>
      </w:pPr>
    </w:p>
    <w:p>
      <w:pPr>
        <w:spacing w:line="480" w:lineRule="exact"/>
        <w:ind w:firstLine="420" w:firstLineChars="200"/>
        <w:rPr>
          <w:color w:val="auto"/>
          <w:highlight w:val="none"/>
        </w:rPr>
      </w:pPr>
    </w:p>
    <w:p>
      <w:pPr>
        <w:spacing w:line="440" w:lineRule="exact"/>
        <w:jc w:val="right"/>
        <w:rPr>
          <w:rFonts w:ascii="宋体" w:hAnsi="宋体" w:cs="宋体"/>
          <w:color w:val="auto"/>
          <w:szCs w:val="21"/>
          <w:highlight w:val="none"/>
        </w:rPr>
      </w:pPr>
      <w:bookmarkStart w:id="1253" w:name="_Toc221950353"/>
      <w:r>
        <w:rPr>
          <w:rFonts w:hint="eastAsia" w:ascii="宋体" w:hAnsi="宋体" w:cs="宋体"/>
          <w:color w:val="auto"/>
          <w:szCs w:val="21"/>
          <w:highlight w:val="none"/>
        </w:rPr>
        <w:t>招标人：（盖单位章）</w:t>
      </w:r>
      <w:bookmarkEnd w:id="1253"/>
    </w:p>
    <w:p>
      <w:pPr>
        <w:spacing w:line="440" w:lineRule="exact"/>
        <w:jc w:val="right"/>
        <w:rPr>
          <w:rFonts w:ascii="宋体" w:hAnsi="宋体" w:cs="宋体"/>
          <w:color w:val="auto"/>
          <w:szCs w:val="21"/>
          <w:highlight w:val="none"/>
        </w:rPr>
      </w:pPr>
    </w:p>
    <w:p>
      <w:pPr>
        <w:spacing w:line="440" w:lineRule="exact"/>
        <w:jc w:val="right"/>
        <w:rPr>
          <w:rFonts w:ascii="宋体" w:hAnsi="宋体" w:cs="宋体"/>
          <w:color w:val="auto"/>
          <w:szCs w:val="21"/>
          <w:highlight w:val="none"/>
        </w:rPr>
      </w:pPr>
      <w:bookmarkStart w:id="1254" w:name="_Toc221950354"/>
      <w:r>
        <w:rPr>
          <w:rFonts w:hint="eastAsia" w:ascii="宋体" w:hAnsi="宋体" w:cs="宋体"/>
          <w:color w:val="auto"/>
          <w:szCs w:val="21"/>
          <w:highlight w:val="none"/>
        </w:rPr>
        <w:t>法定代表人：（签字）</w:t>
      </w:r>
      <w:bookmarkEnd w:id="1254"/>
    </w:p>
    <w:p>
      <w:pPr>
        <w:spacing w:line="440" w:lineRule="exact"/>
        <w:jc w:val="right"/>
        <w:rPr>
          <w:rFonts w:ascii="宋体" w:hAnsi="宋体" w:cs="宋体"/>
          <w:color w:val="auto"/>
          <w:szCs w:val="21"/>
          <w:highlight w:val="none"/>
        </w:rPr>
      </w:pPr>
    </w:p>
    <w:p>
      <w:pPr>
        <w:wordWrap w:val="0"/>
        <w:spacing w:line="440" w:lineRule="exact"/>
        <w:jc w:val="right"/>
        <w:rPr>
          <w:rFonts w:ascii="宋体" w:hAnsi="宋体" w:cs="宋体"/>
          <w:color w:val="auto"/>
          <w:szCs w:val="21"/>
          <w:highlight w:val="none"/>
        </w:rPr>
      </w:pPr>
      <w:bookmarkStart w:id="1255" w:name="_Toc221950355"/>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w:t>
      </w:r>
      <w:bookmarkEnd w:id="1255"/>
    </w:p>
    <w:p>
      <w:pPr>
        <w:spacing w:line="440" w:lineRule="exact"/>
        <w:jc w:val="right"/>
        <w:rPr>
          <w:rFonts w:ascii="宋体" w:hAnsi="宋体" w:cs="宋体"/>
          <w:color w:val="auto"/>
          <w:szCs w:val="21"/>
          <w:highlight w:val="none"/>
        </w:rPr>
      </w:pPr>
    </w:p>
    <w:p>
      <w:pPr>
        <w:spacing w:line="440" w:lineRule="exact"/>
        <w:jc w:val="left"/>
        <w:rPr>
          <w:rFonts w:ascii="宋体" w:hAnsi="宋体" w:cs="宋体"/>
          <w:color w:val="auto"/>
          <w:szCs w:val="21"/>
          <w:highlight w:val="none"/>
        </w:rPr>
      </w:pPr>
    </w:p>
    <w:p>
      <w:pPr>
        <w:spacing w:line="440" w:lineRule="exact"/>
        <w:jc w:val="left"/>
        <w:rPr>
          <w:rFonts w:ascii="宋体" w:hAnsi="宋体" w:cs="宋体"/>
          <w:color w:val="auto"/>
          <w:szCs w:val="21"/>
          <w:highlight w:val="none"/>
        </w:rPr>
      </w:pPr>
    </w:p>
    <w:p>
      <w:pPr>
        <w:spacing w:line="440" w:lineRule="exact"/>
        <w:jc w:val="left"/>
        <w:rPr>
          <w:rFonts w:ascii="宋体" w:hAnsi="宋体" w:cs="宋体"/>
          <w:color w:val="auto"/>
          <w:szCs w:val="21"/>
          <w:highlight w:val="none"/>
        </w:rPr>
      </w:pPr>
    </w:p>
    <w:p>
      <w:pPr>
        <w:spacing w:line="440" w:lineRule="exact"/>
        <w:jc w:val="left"/>
        <w:rPr>
          <w:rFonts w:ascii="宋体" w:hAnsi="宋体" w:cs="宋体"/>
          <w:color w:val="auto"/>
          <w:szCs w:val="21"/>
          <w:highlight w:val="none"/>
        </w:rPr>
      </w:pPr>
    </w:p>
    <w:p>
      <w:pPr>
        <w:spacing w:line="540" w:lineRule="exact"/>
        <w:rPr>
          <w:color w:val="auto"/>
          <w:highlight w:val="none"/>
        </w:rPr>
      </w:pPr>
      <w:r>
        <w:rPr>
          <w:rFonts w:hint="eastAsia" w:ascii="宋体" w:hAnsi="宋体" w:cs="宋体"/>
          <w:color w:val="auto"/>
          <w:highlight w:val="none"/>
        </w:rPr>
        <w:t>备注：最终以电子交易平台生成版本为准。</w:t>
      </w:r>
    </w:p>
    <w:p>
      <w:pPr>
        <w:spacing w:line="440" w:lineRule="exact"/>
        <w:jc w:val="left"/>
        <w:rPr>
          <w:rFonts w:ascii="宋体" w:hAnsi="宋体" w:cs="宋体"/>
          <w:color w:val="auto"/>
          <w:szCs w:val="21"/>
          <w:highlight w:val="none"/>
        </w:rPr>
      </w:pPr>
    </w:p>
    <w:p>
      <w:pPr>
        <w:spacing w:line="440" w:lineRule="exact"/>
        <w:jc w:val="left"/>
        <w:rPr>
          <w:rFonts w:ascii="宋体" w:hAnsi="宋体" w:cs="宋体"/>
          <w:color w:val="auto"/>
          <w:szCs w:val="21"/>
          <w:highlight w:val="none"/>
        </w:rPr>
      </w:pPr>
    </w:p>
    <w:p>
      <w:pPr>
        <w:spacing w:line="440" w:lineRule="exact"/>
        <w:jc w:val="left"/>
        <w:rPr>
          <w:rFonts w:ascii="宋体" w:hAnsi="宋体" w:cs="宋体"/>
          <w:color w:val="auto"/>
          <w:szCs w:val="21"/>
          <w:highlight w:val="none"/>
        </w:rPr>
      </w:pPr>
    </w:p>
    <w:p>
      <w:pPr>
        <w:spacing w:line="440" w:lineRule="exact"/>
        <w:jc w:val="left"/>
        <w:rPr>
          <w:rFonts w:ascii="宋体" w:hAnsi="宋体" w:cs="宋体"/>
          <w:color w:val="auto"/>
          <w:szCs w:val="21"/>
          <w:highlight w:val="none"/>
        </w:rPr>
      </w:pPr>
    </w:p>
    <w:p>
      <w:pPr>
        <w:spacing w:line="440" w:lineRule="exact"/>
        <w:jc w:val="left"/>
        <w:rPr>
          <w:rFonts w:ascii="宋体" w:hAnsi="宋体" w:cs="宋体"/>
          <w:color w:val="auto"/>
          <w:szCs w:val="21"/>
          <w:highlight w:val="none"/>
        </w:rPr>
      </w:pPr>
    </w:p>
    <w:p>
      <w:pPr>
        <w:rPr>
          <w:rFonts w:hint="eastAsia" w:ascii="黑体" w:hAnsi="黑体" w:eastAsia="黑体" w:cs="黑体"/>
          <w:b w:val="0"/>
          <w:bCs/>
          <w:color w:val="auto"/>
          <w:sz w:val="24"/>
          <w:szCs w:val="24"/>
          <w:highlight w:val="none"/>
          <w:lang w:val="en-US" w:eastAsia="zh-CN"/>
        </w:rPr>
      </w:pPr>
      <w:bookmarkStart w:id="1256" w:name="_Toc403382446"/>
      <w:bookmarkStart w:id="1257" w:name="_Toc85699764"/>
      <w:bookmarkStart w:id="1258" w:name="_Toc14733"/>
      <w:bookmarkStart w:id="1259" w:name="_Toc6281"/>
      <w:bookmarkStart w:id="1260" w:name="_Toc1921617927"/>
      <w:bookmarkStart w:id="1261" w:name="_Toc1615"/>
      <w:bookmarkStart w:id="1262" w:name="_Toc31531"/>
      <w:bookmarkStart w:id="1263" w:name="_Toc16684"/>
      <w:r>
        <w:rPr>
          <w:rFonts w:hint="eastAsia" w:ascii="黑体" w:hAnsi="黑体" w:eastAsia="黑体" w:cs="黑体"/>
          <w:b w:val="0"/>
          <w:bCs/>
          <w:color w:val="auto"/>
          <w:sz w:val="24"/>
          <w:szCs w:val="24"/>
          <w:highlight w:val="none"/>
          <w:lang w:val="en-US" w:eastAsia="zh-CN"/>
        </w:rPr>
        <w:br w:type="page"/>
      </w:r>
    </w:p>
    <w:p>
      <w:pPr>
        <w:pStyle w:val="4"/>
        <w:outlineLvl w:val="2"/>
        <w:rPr>
          <w:rFonts w:hint="eastAsia" w:ascii="黑体" w:hAnsi="黑体" w:eastAsia="黑体" w:cs="黑体"/>
          <w:b w:val="0"/>
          <w:bCs/>
          <w:color w:val="auto"/>
          <w:sz w:val="24"/>
          <w:szCs w:val="24"/>
          <w:highlight w:val="none"/>
        </w:rPr>
      </w:pPr>
      <w:bookmarkStart w:id="1264" w:name="_Toc30320"/>
      <w:r>
        <w:rPr>
          <w:rFonts w:hint="eastAsia" w:ascii="黑体" w:hAnsi="黑体" w:eastAsia="黑体" w:cs="黑体"/>
          <w:b w:val="0"/>
          <w:bCs/>
          <w:color w:val="auto"/>
          <w:sz w:val="24"/>
          <w:szCs w:val="24"/>
          <w:highlight w:val="none"/>
          <w:lang w:val="en-US" w:eastAsia="zh-CN"/>
        </w:rPr>
        <w:t>附表十一：异议</w:t>
      </w:r>
      <w:r>
        <w:rPr>
          <w:rFonts w:hint="eastAsia" w:ascii="黑体" w:hAnsi="黑体" w:eastAsia="黑体" w:cs="黑体"/>
          <w:b w:val="0"/>
          <w:bCs/>
          <w:color w:val="auto"/>
          <w:sz w:val="24"/>
          <w:szCs w:val="24"/>
          <w:highlight w:val="none"/>
        </w:rPr>
        <w:t>函</w:t>
      </w:r>
      <w:bookmarkEnd w:id="1256"/>
      <w:bookmarkEnd w:id="1257"/>
      <w:bookmarkEnd w:id="1258"/>
      <w:bookmarkEnd w:id="1259"/>
      <w:bookmarkEnd w:id="1260"/>
      <w:bookmarkEnd w:id="1261"/>
      <w:bookmarkEnd w:id="1262"/>
      <w:bookmarkEnd w:id="1263"/>
      <w:bookmarkEnd w:id="1264"/>
    </w:p>
    <w:p>
      <w:pPr>
        <w:spacing w:line="720" w:lineRule="auto"/>
        <w:jc w:val="center"/>
        <w:rPr>
          <w:rFonts w:ascii="仿宋_GB2312" w:eastAsia="仿宋_GB2312"/>
          <w:b/>
          <w:color w:val="auto"/>
          <w:sz w:val="28"/>
          <w:szCs w:val="28"/>
          <w:highlight w:val="none"/>
        </w:rPr>
      </w:pPr>
    </w:p>
    <w:p>
      <w:pPr>
        <w:spacing w:beforeLines="100" w:afterLines="100" w:line="480" w:lineRule="exact"/>
        <w:jc w:val="center"/>
        <w:rPr>
          <w:rFonts w:ascii="黑体" w:eastAsia="黑体"/>
          <w:color w:val="auto"/>
          <w:sz w:val="28"/>
          <w:szCs w:val="28"/>
          <w:highlight w:val="none"/>
        </w:rPr>
      </w:pPr>
      <w:r>
        <w:rPr>
          <w:rFonts w:hint="eastAsia" w:ascii="黑体" w:eastAsia="黑体"/>
          <w:color w:val="auto"/>
          <w:sz w:val="28"/>
          <w:szCs w:val="28"/>
          <w:highlight w:val="none"/>
        </w:rPr>
        <w:t>异议函</w:t>
      </w: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r>
        <w:rPr>
          <w:rFonts w:hint="eastAsia" w:ascii="宋体" w:hAnsi="宋体"/>
          <w:color w:val="auto"/>
          <w:szCs w:val="21"/>
          <w:highlight w:val="none"/>
        </w:rPr>
        <w:t xml:space="preserve">                                                              编号：</w:t>
      </w:r>
      <w:r>
        <w:rPr>
          <w:rFonts w:hint="eastAsia" w:ascii="宋体" w:hAnsi="宋体"/>
          <w:color w:val="auto"/>
          <w:szCs w:val="21"/>
          <w:highlight w:val="none"/>
          <w:u w:val="single"/>
        </w:rPr>
        <w:t>　        　</w:t>
      </w:r>
    </w:p>
    <w:p>
      <w:pPr>
        <w:spacing w:line="360" w:lineRule="auto"/>
        <w:rPr>
          <w:rFonts w:ascii="宋体" w:hAnsi="宋体"/>
          <w:color w:val="auto"/>
          <w:szCs w:val="21"/>
          <w:highlight w:val="none"/>
        </w:rPr>
      </w:pPr>
      <w:r>
        <w:rPr>
          <w:rFonts w:hint="eastAsia" w:ascii="宋体" w:hAnsi="宋体"/>
          <w:color w:val="auto"/>
          <w:szCs w:val="21"/>
          <w:highlight w:val="none"/>
          <w:u w:val="single"/>
        </w:rPr>
        <w:t>　　　　   　　　　</w:t>
      </w:r>
      <w:r>
        <w:rPr>
          <w:rFonts w:hint="eastAsia" w:ascii="宋体" w:hAnsi="宋体"/>
          <w:color w:val="auto"/>
          <w:szCs w:val="21"/>
          <w:highlight w:val="none"/>
        </w:rPr>
        <w:t>(招标人名称)：</w:t>
      </w:r>
    </w:p>
    <w:p>
      <w:pPr>
        <w:spacing w:line="360" w:lineRule="auto"/>
        <w:ind w:firstLine="420"/>
        <w:rPr>
          <w:rFonts w:ascii="宋体" w:hAnsi="宋体"/>
          <w:color w:val="auto"/>
          <w:szCs w:val="21"/>
          <w:highlight w:val="none"/>
        </w:rPr>
      </w:pPr>
      <w:r>
        <w:rPr>
          <w:rFonts w:hint="eastAsia" w:ascii="宋体" w:hAnsi="宋体"/>
          <w:color w:val="auto"/>
          <w:szCs w:val="21"/>
          <w:highlight w:val="none"/>
        </w:rPr>
        <w:t>我方已研究（看到）你方发出的</w:t>
      </w:r>
      <w:r>
        <w:rPr>
          <w:rFonts w:ascii="宋体" w:hAnsi="宋体"/>
          <w:color w:val="auto"/>
          <w:szCs w:val="21"/>
          <w:highlight w:val="none"/>
          <w:u w:val="single"/>
        </w:rPr>
        <w:t xml:space="preserve">　  </w:t>
      </w:r>
      <w:r>
        <w:rPr>
          <w:rFonts w:ascii="宋体" w:hAnsi="宋体"/>
          <w:color w:val="auto"/>
          <w:szCs w:val="21"/>
          <w:highlight w:val="none"/>
        </w:rPr>
        <w:t xml:space="preserve"> （项目名称）</w:t>
      </w:r>
      <w:r>
        <w:rPr>
          <w:rFonts w:hint="eastAsia"/>
          <w:color w:val="auto"/>
          <w:highlight w:val="none"/>
          <w:u w:val="single"/>
          <w:lang w:val="en-US" w:eastAsia="zh-CN"/>
        </w:rPr>
        <w:t xml:space="preserve">     </w:t>
      </w:r>
      <w:r>
        <w:rPr>
          <w:color w:val="auto"/>
          <w:highlight w:val="none"/>
        </w:rPr>
        <w:t>（标段名称）</w:t>
      </w:r>
      <w:r>
        <w:rPr>
          <w:rFonts w:hint="eastAsia" w:ascii="宋体" w:hAnsi="宋体"/>
          <w:color w:val="auto"/>
          <w:szCs w:val="21"/>
          <w:highlight w:val="none"/>
        </w:rPr>
        <w:t>施工招标文件（或评标结果公示），现对下列问题提出异议，请予以解释：</w:t>
      </w:r>
    </w:p>
    <w:p>
      <w:pPr>
        <w:spacing w:line="360" w:lineRule="auto"/>
        <w:ind w:firstLine="420"/>
        <w:rPr>
          <w:rFonts w:ascii="宋体" w:hAnsi="宋体"/>
          <w:color w:val="auto"/>
          <w:szCs w:val="21"/>
          <w:highlight w:val="none"/>
        </w:rPr>
      </w:pPr>
      <w:r>
        <w:rPr>
          <w:rFonts w:hint="eastAsia" w:ascii="宋体" w:hAnsi="宋体"/>
          <w:color w:val="auto"/>
          <w:szCs w:val="21"/>
          <w:highlight w:val="none"/>
        </w:rPr>
        <w:t>　　</w:t>
      </w:r>
      <w:r>
        <w:rPr>
          <w:rFonts w:hint="eastAsia"/>
          <w:color w:val="auto"/>
          <w:szCs w:val="21"/>
          <w:highlight w:val="none"/>
        </w:rPr>
        <w:t>1</w:t>
      </w:r>
      <w:r>
        <w:rPr>
          <w:rFonts w:hint="eastAsia" w:ascii="宋体" w:hAnsi="宋体"/>
          <w:color w:val="auto"/>
          <w:szCs w:val="21"/>
          <w:highlight w:val="none"/>
        </w:rPr>
        <w:t>.……</w:t>
      </w:r>
    </w:p>
    <w:p>
      <w:pPr>
        <w:spacing w:line="360" w:lineRule="auto"/>
        <w:ind w:firstLine="420"/>
        <w:rPr>
          <w:rFonts w:ascii="宋体" w:hAnsi="宋体"/>
          <w:color w:val="auto"/>
          <w:szCs w:val="21"/>
          <w:highlight w:val="none"/>
        </w:rPr>
      </w:pPr>
      <w:r>
        <w:rPr>
          <w:rFonts w:hint="eastAsia" w:ascii="宋体" w:hAnsi="宋体"/>
          <w:color w:val="auto"/>
          <w:szCs w:val="21"/>
          <w:highlight w:val="none"/>
        </w:rPr>
        <w:t>　　</w:t>
      </w:r>
      <w:r>
        <w:rPr>
          <w:rFonts w:hint="eastAsia"/>
          <w:color w:val="auto"/>
          <w:szCs w:val="21"/>
          <w:highlight w:val="none"/>
        </w:rPr>
        <w:t>2</w:t>
      </w:r>
      <w:r>
        <w:rPr>
          <w:rFonts w:hint="eastAsia" w:ascii="宋体" w:hAnsi="宋体"/>
          <w:color w:val="auto"/>
          <w:szCs w:val="21"/>
          <w:highlight w:val="none"/>
        </w:rPr>
        <w:t>.……</w:t>
      </w: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r>
        <w:rPr>
          <w:rFonts w:hint="eastAsia" w:ascii="宋体" w:hAnsi="宋体"/>
          <w:color w:val="auto"/>
          <w:szCs w:val="21"/>
          <w:highlight w:val="none"/>
        </w:rPr>
        <w:t>　　　　　　　　　　　　　　　投标人或利害关系人：</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360" w:lineRule="auto"/>
        <w:ind w:firstLine="420"/>
        <w:rPr>
          <w:rFonts w:ascii="宋体" w:hAnsi="宋体"/>
          <w:color w:val="auto"/>
          <w:szCs w:val="21"/>
          <w:highlight w:val="none"/>
        </w:rPr>
      </w:pPr>
      <w:r>
        <w:rPr>
          <w:rFonts w:hint="eastAsia" w:ascii="宋体" w:hAnsi="宋体"/>
          <w:color w:val="auto"/>
          <w:szCs w:val="21"/>
          <w:highlight w:val="none"/>
        </w:rPr>
        <w:t>　　　　　　　　　　　　　　　法定代表人：</w:t>
      </w:r>
      <w:r>
        <w:rPr>
          <w:rFonts w:hint="eastAsia" w:ascii="宋体" w:hAnsi="宋体"/>
          <w:color w:val="auto"/>
          <w:szCs w:val="21"/>
          <w:highlight w:val="none"/>
          <w:u w:val="single"/>
        </w:rPr>
        <w:t>　　　              　　　　</w:t>
      </w:r>
      <w:r>
        <w:rPr>
          <w:rFonts w:hint="eastAsia" w:ascii="宋体" w:hAnsi="宋体"/>
          <w:color w:val="auto"/>
          <w:szCs w:val="21"/>
          <w:highlight w:val="none"/>
        </w:rPr>
        <w:t>(签字)</w:t>
      </w:r>
    </w:p>
    <w:p>
      <w:pPr>
        <w:spacing w:line="360" w:lineRule="auto"/>
        <w:ind w:firstLine="420"/>
        <w:rPr>
          <w:rFonts w:ascii="宋体" w:hAnsi="宋体"/>
          <w:color w:val="auto"/>
          <w:szCs w:val="21"/>
          <w:highlight w:val="none"/>
        </w:rPr>
      </w:pPr>
      <w:r>
        <w:rPr>
          <w:rFonts w:hint="eastAsia" w:ascii="宋体" w:hAnsi="宋体"/>
          <w:color w:val="auto"/>
          <w:szCs w:val="21"/>
          <w:highlight w:val="none"/>
        </w:rPr>
        <w:t xml:space="preserve">　　　　　　　　　　　　　　　　　　　　　　　　   </w:t>
      </w:r>
      <w:r>
        <w:rPr>
          <w:rFonts w:hint="eastAsia" w:ascii="宋体" w:hAnsi="宋体"/>
          <w:color w:val="auto"/>
          <w:szCs w:val="21"/>
          <w:highlight w:val="none"/>
          <w:u w:val="single"/>
        </w:rPr>
        <w:t>　　  　　</w:t>
      </w:r>
      <w:r>
        <w:rPr>
          <w:rFonts w:hint="eastAsia" w:ascii="宋体" w:hAnsi="宋体"/>
          <w:color w:val="auto"/>
          <w:szCs w:val="21"/>
          <w:highlight w:val="none"/>
        </w:rPr>
        <w:t>年</w:t>
      </w:r>
      <w:r>
        <w:rPr>
          <w:rFonts w:hint="eastAsia" w:ascii="宋体" w:hAnsi="宋体"/>
          <w:color w:val="auto"/>
          <w:szCs w:val="21"/>
          <w:highlight w:val="none"/>
          <w:u w:val="single"/>
        </w:rPr>
        <w:t>　　</w:t>
      </w:r>
      <w:r>
        <w:rPr>
          <w:rFonts w:hint="eastAsia" w:ascii="宋体" w:hAnsi="宋体"/>
          <w:color w:val="auto"/>
          <w:szCs w:val="21"/>
          <w:highlight w:val="none"/>
        </w:rPr>
        <w:t>月</w:t>
      </w:r>
      <w:r>
        <w:rPr>
          <w:rFonts w:hint="eastAsia" w:ascii="宋体" w:hAnsi="宋体"/>
          <w:color w:val="auto"/>
          <w:szCs w:val="21"/>
          <w:highlight w:val="none"/>
          <w:u w:val="single"/>
        </w:rPr>
        <w:t>　　</w:t>
      </w:r>
      <w:r>
        <w:rPr>
          <w:rFonts w:hint="eastAsia" w:ascii="宋体" w:hAnsi="宋体"/>
          <w:color w:val="auto"/>
          <w:szCs w:val="21"/>
          <w:highlight w:val="none"/>
        </w:rPr>
        <w:t>日</w:t>
      </w:r>
    </w:p>
    <w:p>
      <w:pPr>
        <w:spacing w:line="560" w:lineRule="exact"/>
        <w:rPr>
          <w:color w:val="auto"/>
          <w:szCs w:val="21"/>
          <w:highlight w:val="none"/>
        </w:rPr>
      </w:pPr>
    </w:p>
    <w:p>
      <w:pPr>
        <w:spacing w:line="560" w:lineRule="exact"/>
        <w:rPr>
          <w:color w:val="auto"/>
          <w:szCs w:val="21"/>
          <w:highlight w:val="none"/>
        </w:rPr>
      </w:pPr>
    </w:p>
    <w:p>
      <w:pPr>
        <w:spacing w:line="360" w:lineRule="auto"/>
        <w:ind w:firstLine="420"/>
        <w:jc w:val="right"/>
        <w:rPr>
          <w:rFonts w:ascii="仿宋_GB2312" w:eastAsia="仿宋_GB2312"/>
          <w:color w:val="auto"/>
          <w:szCs w:val="21"/>
          <w:highlight w:val="none"/>
        </w:rPr>
      </w:pPr>
    </w:p>
    <w:p>
      <w:pPr>
        <w:ind w:firstLine="420"/>
        <w:jc w:val="right"/>
        <w:rPr>
          <w:rFonts w:ascii="仿宋_GB2312" w:eastAsia="仿宋_GB2312"/>
          <w:color w:val="auto"/>
          <w:szCs w:val="21"/>
          <w:highlight w:val="none"/>
        </w:rPr>
      </w:pPr>
    </w:p>
    <w:p>
      <w:pPr>
        <w:ind w:firstLine="420"/>
        <w:jc w:val="right"/>
        <w:rPr>
          <w:rFonts w:ascii="仿宋_GB2312" w:eastAsia="仿宋_GB2312"/>
          <w:color w:val="auto"/>
          <w:szCs w:val="21"/>
          <w:highlight w:val="none"/>
        </w:rPr>
      </w:pPr>
    </w:p>
    <w:p>
      <w:pPr>
        <w:ind w:firstLine="420"/>
        <w:jc w:val="right"/>
        <w:rPr>
          <w:rFonts w:ascii="仿宋_GB2312" w:eastAsia="仿宋_GB2312"/>
          <w:color w:val="auto"/>
          <w:szCs w:val="21"/>
          <w:highlight w:val="none"/>
        </w:rPr>
      </w:pPr>
    </w:p>
    <w:p>
      <w:pPr>
        <w:ind w:left="630" w:hanging="630" w:hangingChars="300"/>
        <w:rPr>
          <w:color w:val="auto"/>
          <w:highlight w:val="none"/>
        </w:rPr>
      </w:pPr>
      <w:r>
        <w:rPr>
          <w:rFonts w:hint="eastAsia" w:ascii="宋体" w:hAnsi="宋体"/>
          <w:color w:val="auto"/>
          <w:highlight w:val="none"/>
        </w:rPr>
        <w:t>备注</w:t>
      </w:r>
      <w:r>
        <w:rPr>
          <w:rFonts w:hint="eastAsia"/>
          <w:color w:val="auto"/>
          <w:highlight w:val="none"/>
        </w:rPr>
        <w:t>：投标人或利害关系人对招标文件的内容或对评标结果有异议，要求招标人解释的，适用本格式。</w:t>
      </w:r>
      <w:bookmarkStart w:id="1265" w:name="_Toc403382447"/>
      <w:bookmarkStart w:id="1266" w:name="_Toc353544011"/>
    </w:p>
    <w:p>
      <w:pPr>
        <w:ind w:left="630" w:hanging="630" w:hangingChars="300"/>
        <w:rPr>
          <w:color w:val="auto"/>
          <w:highlight w:val="none"/>
        </w:rPr>
      </w:pPr>
    </w:p>
    <w:p>
      <w:pPr>
        <w:ind w:left="630" w:hanging="630" w:hangingChars="300"/>
        <w:rPr>
          <w:color w:val="auto"/>
          <w:highlight w:val="none"/>
        </w:rPr>
      </w:pPr>
    </w:p>
    <w:p>
      <w:pPr>
        <w:ind w:left="630" w:hanging="630" w:hangingChars="300"/>
        <w:rPr>
          <w:color w:val="auto"/>
          <w:highlight w:val="none"/>
        </w:rPr>
      </w:pPr>
    </w:p>
    <w:p>
      <w:pPr>
        <w:ind w:left="630" w:hanging="630" w:hangingChars="300"/>
        <w:rPr>
          <w:color w:val="auto"/>
          <w:highlight w:val="none"/>
        </w:rPr>
      </w:pPr>
    </w:p>
    <w:p>
      <w:pPr>
        <w:ind w:left="630" w:hanging="630" w:hangingChars="300"/>
        <w:rPr>
          <w:color w:val="auto"/>
          <w:highlight w:val="none"/>
        </w:rPr>
      </w:pPr>
    </w:p>
    <w:p>
      <w:pPr>
        <w:ind w:left="630" w:hanging="630" w:hangingChars="300"/>
        <w:rPr>
          <w:color w:val="auto"/>
          <w:szCs w:val="21"/>
          <w:highlight w:val="none"/>
        </w:rPr>
      </w:pPr>
    </w:p>
    <w:p>
      <w:pPr>
        <w:ind w:left="630" w:hanging="630" w:hangingChars="300"/>
        <w:rPr>
          <w:color w:val="auto"/>
          <w:szCs w:val="21"/>
          <w:highlight w:val="none"/>
        </w:rPr>
      </w:pPr>
    </w:p>
    <w:p>
      <w:pPr>
        <w:ind w:left="630" w:hanging="630" w:hangingChars="300"/>
        <w:rPr>
          <w:color w:val="auto"/>
          <w:szCs w:val="21"/>
          <w:highlight w:val="none"/>
        </w:rPr>
      </w:pPr>
    </w:p>
    <w:p>
      <w:pPr>
        <w:pStyle w:val="4"/>
        <w:outlineLvl w:val="2"/>
        <w:rPr>
          <w:rFonts w:hint="eastAsia" w:ascii="黑体" w:hAnsi="黑体" w:eastAsia="黑体" w:cs="黑体"/>
          <w:b w:val="0"/>
          <w:bCs/>
          <w:color w:val="auto"/>
          <w:sz w:val="24"/>
          <w:szCs w:val="24"/>
          <w:highlight w:val="none"/>
        </w:rPr>
      </w:pPr>
      <w:bookmarkStart w:id="1267" w:name="_Toc8468"/>
      <w:bookmarkStart w:id="1268" w:name="_Toc2012"/>
      <w:bookmarkStart w:id="1269" w:name="_Toc197209400"/>
      <w:bookmarkStart w:id="1270" w:name="_Toc130608243"/>
      <w:bookmarkStart w:id="1271" w:name="_Toc14399"/>
      <w:bookmarkStart w:id="1272" w:name="_Toc3019"/>
      <w:bookmarkStart w:id="1273" w:name="_Toc1129"/>
      <w:bookmarkStart w:id="1274" w:name="_Toc25495"/>
      <w:r>
        <w:rPr>
          <w:rFonts w:hint="eastAsia" w:ascii="黑体" w:hAnsi="黑体" w:eastAsia="黑体" w:cs="黑体"/>
          <w:b w:val="0"/>
          <w:bCs/>
          <w:color w:val="auto"/>
          <w:sz w:val="24"/>
          <w:szCs w:val="24"/>
          <w:highlight w:val="none"/>
        </w:rPr>
        <w:t>附表十二：异议答复函</w:t>
      </w:r>
      <w:bookmarkEnd w:id="1265"/>
      <w:bookmarkEnd w:id="1266"/>
      <w:bookmarkEnd w:id="1267"/>
      <w:bookmarkEnd w:id="1268"/>
      <w:bookmarkEnd w:id="1269"/>
      <w:bookmarkEnd w:id="1270"/>
      <w:bookmarkEnd w:id="1271"/>
      <w:bookmarkEnd w:id="1272"/>
      <w:bookmarkEnd w:id="1273"/>
      <w:bookmarkEnd w:id="1274"/>
    </w:p>
    <w:p>
      <w:pPr>
        <w:jc w:val="center"/>
        <w:rPr>
          <w:rFonts w:hAnsi="黑体" w:eastAsia="黑体"/>
          <w:b/>
          <w:color w:val="auto"/>
          <w:sz w:val="28"/>
          <w:szCs w:val="28"/>
          <w:highlight w:val="none"/>
        </w:rPr>
      </w:pPr>
    </w:p>
    <w:p>
      <w:pPr>
        <w:jc w:val="center"/>
        <w:rPr>
          <w:rFonts w:hAnsi="黑体" w:eastAsia="黑体"/>
          <w:b/>
          <w:color w:val="auto"/>
          <w:sz w:val="28"/>
          <w:szCs w:val="28"/>
          <w:highlight w:val="none"/>
        </w:rPr>
      </w:pPr>
    </w:p>
    <w:p>
      <w:pPr>
        <w:spacing w:beforeLines="100" w:afterLines="100" w:line="480" w:lineRule="exact"/>
        <w:jc w:val="center"/>
        <w:rPr>
          <w:rFonts w:ascii="黑体" w:eastAsia="黑体"/>
          <w:color w:val="auto"/>
          <w:sz w:val="28"/>
          <w:szCs w:val="28"/>
          <w:highlight w:val="none"/>
        </w:rPr>
      </w:pPr>
      <w:r>
        <w:rPr>
          <w:rFonts w:hint="eastAsia" w:ascii="黑体" w:eastAsia="黑体"/>
          <w:color w:val="auto"/>
          <w:sz w:val="28"/>
          <w:szCs w:val="28"/>
          <w:highlight w:val="none"/>
        </w:rPr>
        <w:t>异议答复函</w:t>
      </w: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r>
        <w:rPr>
          <w:rFonts w:hint="eastAsia" w:ascii="宋体" w:hAnsi="宋体"/>
          <w:color w:val="auto"/>
          <w:szCs w:val="21"/>
          <w:highlight w:val="none"/>
        </w:rPr>
        <w:t xml:space="preserve">                                                          编号：</w:t>
      </w:r>
      <w:r>
        <w:rPr>
          <w:rFonts w:hint="eastAsia" w:ascii="宋体" w:hAnsi="宋体"/>
          <w:color w:val="auto"/>
          <w:szCs w:val="21"/>
          <w:highlight w:val="none"/>
          <w:u w:val="single"/>
        </w:rPr>
        <w:t>　        　</w:t>
      </w:r>
    </w:p>
    <w:p>
      <w:pPr>
        <w:spacing w:line="360" w:lineRule="auto"/>
        <w:rPr>
          <w:rFonts w:ascii="宋体" w:hAnsi="宋体"/>
          <w:color w:val="auto"/>
          <w:szCs w:val="21"/>
          <w:highlight w:val="none"/>
        </w:rPr>
      </w:pPr>
      <w:r>
        <w:rPr>
          <w:rFonts w:hint="eastAsia" w:ascii="宋体" w:hAnsi="宋体"/>
          <w:color w:val="auto"/>
          <w:szCs w:val="21"/>
          <w:highlight w:val="none"/>
          <w:u w:val="single"/>
        </w:rPr>
        <w:t>　　　　   　　　　</w:t>
      </w:r>
      <w:r>
        <w:rPr>
          <w:rFonts w:hint="eastAsia" w:ascii="宋体" w:hAnsi="宋体"/>
          <w:color w:val="auto"/>
          <w:szCs w:val="21"/>
          <w:highlight w:val="none"/>
        </w:rPr>
        <w:t>(投标人或利害关系人名称)：</w:t>
      </w:r>
    </w:p>
    <w:p>
      <w:pPr>
        <w:spacing w:line="360" w:lineRule="auto"/>
        <w:ind w:firstLine="420"/>
        <w:rPr>
          <w:rFonts w:ascii="宋体" w:hAnsi="宋体"/>
          <w:color w:val="auto"/>
          <w:szCs w:val="21"/>
          <w:highlight w:val="none"/>
        </w:rPr>
      </w:pPr>
      <w:r>
        <w:rPr>
          <w:rFonts w:hint="eastAsia" w:ascii="宋体" w:hAnsi="宋体"/>
          <w:color w:val="auto"/>
          <w:szCs w:val="21"/>
          <w:highlight w:val="none"/>
        </w:rPr>
        <w:t>你方提出的有关</w:t>
      </w:r>
      <w:r>
        <w:rPr>
          <w:rFonts w:hint="eastAsia" w:ascii="宋体" w:hAnsi="宋体"/>
          <w:color w:val="auto"/>
          <w:szCs w:val="21"/>
          <w:highlight w:val="none"/>
          <w:u w:val="single"/>
        </w:rPr>
        <w:t>　　         　　</w:t>
      </w:r>
      <w:r>
        <w:rPr>
          <w:rFonts w:hint="eastAsia" w:ascii="宋体" w:hAnsi="宋体"/>
          <w:color w:val="auto"/>
          <w:szCs w:val="21"/>
          <w:highlight w:val="none"/>
        </w:rPr>
        <w:t>(项目名称)</w:t>
      </w:r>
      <w:r>
        <w:rPr>
          <w:rFonts w:hint="eastAsia" w:ascii="宋体" w:hAnsi="宋体"/>
          <w:color w:val="auto"/>
          <w:szCs w:val="21"/>
          <w:highlight w:val="none"/>
          <w:u w:val="single"/>
        </w:rPr>
        <w:t xml:space="preserve">　　     </w:t>
      </w:r>
      <w:r>
        <w:rPr>
          <w:color w:val="auto"/>
          <w:highlight w:val="none"/>
        </w:rPr>
        <w:t>（标段名称）</w:t>
      </w:r>
      <w:r>
        <w:rPr>
          <w:rFonts w:hint="eastAsia" w:ascii="宋体" w:hAnsi="宋体"/>
          <w:color w:val="auto"/>
          <w:szCs w:val="21"/>
          <w:highlight w:val="none"/>
        </w:rPr>
        <w:t>施工招标文件（或评标结果公示）的异议</w:t>
      </w:r>
      <w:r>
        <w:rPr>
          <w:rFonts w:ascii="宋体" w:hAnsi="宋体"/>
          <w:color w:val="auto"/>
          <w:szCs w:val="21"/>
          <w:highlight w:val="none"/>
        </w:rPr>
        <w:t>已收悉</w:t>
      </w:r>
      <w:r>
        <w:rPr>
          <w:rFonts w:hint="eastAsia" w:ascii="宋体" w:hAnsi="宋体"/>
          <w:color w:val="auto"/>
          <w:szCs w:val="21"/>
          <w:highlight w:val="none"/>
        </w:rPr>
        <w:t>，</w:t>
      </w:r>
      <w:r>
        <w:rPr>
          <w:rFonts w:ascii="宋体" w:hAnsi="宋体"/>
          <w:color w:val="auto"/>
          <w:szCs w:val="21"/>
          <w:highlight w:val="none"/>
        </w:rPr>
        <w:t>现</w:t>
      </w:r>
      <w:r>
        <w:rPr>
          <w:rFonts w:hint="eastAsia" w:ascii="宋体" w:hAnsi="宋体"/>
          <w:color w:val="auto"/>
          <w:szCs w:val="21"/>
          <w:highlight w:val="none"/>
        </w:rPr>
        <w:t>答复如下：</w:t>
      </w:r>
    </w:p>
    <w:p>
      <w:pPr>
        <w:spacing w:line="360" w:lineRule="auto"/>
        <w:ind w:firstLine="420"/>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w:t>
      </w:r>
    </w:p>
    <w:p>
      <w:pPr>
        <w:spacing w:line="360" w:lineRule="auto"/>
        <w:ind w:firstLine="420"/>
        <w:rPr>
          <w:rFonts w:ascii="宋体" w:hAnsi="宋体"/>
          <w:color w:val="auto"/>
          <w:szCs w:val="21"/>
          <w:highlight w:val="none"/>
        </w:rPr>
      </w:pPr>
      <w:r>
        <w:rPr>
          <w:rFonts w:hint="eastAsia"/>
          <w:color w:val="auto"/>
          <w:szCs w:val="21"/>
          <w:highlight w:val="none"/>
        </w:rPr>
        <w:t>2</w:t>
      </w:r>
      <w:r>
        <w:rPr>
          <w:rFonts w:hint="eastAsia" w:ascii="宋体" w:hAnsi="宋体"/>
          <w:color w:val="auto"/>
          <w:szCs w:val="21"/>
          <w:highlight w:val="none"/>
        </w:rPr>
        <w:t>.……</w:t>
      </w:r>
    </w:p>
    <w:p>
      <w:pPr>
        <w:spacing w:line="360" w:lineRule="auto"/>
        <w:ind w:firstLine="420"/>
        <w:rPr>
          <w:rFonts w:ascii="宋体" w:hAnsi="宋体"/>
          <w:color w:val="auto"/>
          <w:szCs w:val="21"/>
          <w:highlight w:val="none"/>
        </w:rPr>
      </w:pPr>
      <w:r>
        <w:rPr>
          <w:rFonts w:hint="eastAsia" w:ascii="宋体" w:hAnsi="宋体"/>
          <w:color w:val="auto"/>
          <w:szCs w:val="21"/>
          <w:highlight w:val="none"/>
        </w:rPr>
        <w:t>……</w:t>
      </w: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p>
    <w:p>
      <w:pPr>
        <w:spacing w:line="360" w:lineRule="auto"/>
        <w:ind w:firstLine="420"/>
        <w:jc w:val="right"/>
        <w:rPr>
          <w:rFonts w:ascii="宋体" w:hAnsi="宋体"/>
          <w:color w:val="auto"/>
          <w:szCs w:val="21"/>
          <w:highlight w:val="none"/>
        </w:rPr>
      </w:pPr>
      <w:r>
        <w:rPr>
          <w:rFonts w:ascii="宋体" w:hAnsi="宋体"/>
          <w:color w:val="auto"/>
          <w:szCs w:val="21"/>
          <w:highlight w:val="none"/>
        </w:rPr>
        <w:t>招标人： （盖单位章）</w:t>
      </w:r>
    </w:p>
    <w:p>
      <w:pPr>
        <w:spacing w:line="360" w:lineRule="auto"/>
        <w:ind w:firstLine="420"/>
        <w:jc w:val="right"/>
        <w:rPr>
          <w:rFonts w:ascii="宋体" w:hAnsi="宋体"/>
          <w:color w:val="auto"/>
          <w:szCs w:val="21"/>
          <w:highlight w:val="none"/>
        </w:rPr>
      </w:pPr>
    </w:p>
    <w:p>
      <w:pPr>
        <w:spacing w:line="360" w:lineRule="auto"/>
        <w:ind w:firstLine="420"/>
        <w:jc w:val="right"/>
        <w:rPr>
          <w:rFonts w:ascii="宋体" w:hAnsi="宋体"/>
          <w:color w:val="auto"/>
          <w:szCs w:val="21"/>
          <w:highlight w:val="none"/>
        </w:rPr>
      </w:pPr>
      <w:r>
        <w:rPr>
          <w:rFonts w:ascii="宋体" w:hAnsi="宋体"/>
          <w:color w:val="auto"/>
          <w:szCs w:val="21"/>
          <w:highlight w:val="none"/>
        </w:rPr>
        <w:t>年</w:t>
      </w:r>
      <w:r>
        <w:rPr>
          <w:rFonts w:hint="eastAsia" w:ascii="宋体" w:hAnsi="宋体"/>
          <w:color w:val="auto"/>
          <w:szCs w:val="21"/>
          <w:highlight w:val="none"/>
          <w:lang w:val="en-US" w:eastAsia="zh-CN"/>
        </w:rPr>
        <w:t xml:space="preserve">   </w:t>
      </w:r>
      <w:r>
        <w:rPr>
          <w:rFonts w:ascii="宋体" w:hAnsi="宋体"/>
          <w:color w:val="auto"/>
          <w:szCs w:val="21"/>
          <w:highlight w:val="none"/>
        </w:rPr>
        <w:t>月</w:t>
      </w:r>
      <w:r>
        <w:rPr>
          <w:rFonts w:hint="eastAsia" w:ascii="宋体" w:hAnsi="宋体"/>
          <w:color w:val="auto"/>
          <w:szCs w:val="21"/>
          <w:highlight w:val="none"/>
          <w:lang w:val="en-US" w:eastAsia="zh-CN"/>
        </w:rPr>
        <w:t xml:space="preserve">   </w:t>
      </w:r>
      <w:r>
        <w:rPr>
          <w:rFonts w:ascii="宋体" w:hAnsi="宋体"/>
          <w:color w:val="auto"/>
          <w:szCs w:val="21"/>
          <w:highlight w:val="none"/>
        </w:rPr>
        <w:t>日</w:t>
      </w: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p>
    <w:p>
      <w:pPr>
        <w:spacing w:line="360" w:lineRule="auto"/>
        <w:ind w:firstLine="420"/>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outlineLvl w:val="2"/>
        <w:rPr>
          <w:rFonts w:hint="eastAsia" w:ascii="黑体" w:hAnsi="黑体" w:eastAsia="黑体" w:cs="黑体"/>
          <w:b w:val="0"/>
          <w:bCs/>
          <w:color w:val="auto"/>
          <w:sz w:val="24"/>
          <w:szCs w:val="24"/>
          <w:highlight w:val="none"/>
        </w:rPr>
      </w:pPr>
      <w:bookmarkStart w:id="1275" w:name="_Toc30014"/>
      <w:bookmarkStart w:id="1276" w:name="_Toc534533954"/>
      <w:bookmarkStart w:id="1277" w:name="_Toc11426"/>
      <w:bookmarkStart w:id="1278" w:name="_Toc754"/>
      <w:bookmarkStart w:id="1279" w:name="_Toc28546"/>
      <w:bookmarkStart w:id="1280" w:name="_Toc26121"/>
      <w:bookmarkStart w:id="1281" w:name="_Toc1750541562"/>
      <w:bookmarkStart w:id="1282" w:name="_Toc1884"/>
      <w:r>
        <w:rPr>
          <w:rFonts w:hint="eastAsia" w:ascii="黑体" w:hAnsi="黑体" w:eastAsia="黑体" w:cs="黑体"/>
          <w:b w:val="0"/>
          <w:bCs/>
          <w:color w:val="auto"/>
          <w:sz w:val="24"/>
          <w:szCs w:val="24"/>
          <w:highlight w:val="none"/>
        </w:rPr>
        <w:t>附表十三：授权委托书</w:t>
      </w:r>
      <w:bookmarkEnd w:id="1275"/>
      <w:bookmarkEnd w:id="1276"/>
      <w:bookmarkEnd w:id="1277"/>
      <w:bookmarkEnd w:id="1278"/>
      <w:bookmarkEnd w:id="1279"/>
      <w:bookmarkEnd w:id="1280"/>
      <w:bookmarkEnd w:id="1281"/>
      <w:bookmarkEnd w:id="1282"/>
    </w:p>
    <w:p>
      <w:pPr>
        <w:spacing w:beforeLines="100" w:afterLines="100" w:line="480" w:lineRule="exact"/>
        <w:jc w:val="center"/>
        <w:rPr>
          <w:rFonts w:ascii="黑体" w:eastAsia="黑体"/>
          <w:color w:val="auto"/>
          <w:sz w:val="28"/>
          <w:szCs w:val="28"/>
          <w:highlight w:val="none"/>
        </w:rPr>
      </w:pPr>
      <w:bookmarkStart w:id="1283" w:name="_Toc493254945"/>
      <w:r>
        <w:rPr>
          <w:rFonts w:hint="eastAsia" w:ascii="黑体" w:eastAsia="黑体"/>
          <w:color w:val="auto"/>
          <w:sz w:val="28"/>
          <w:szCs w:val="28"/>
          <w:highlight w:val="none"/>
        </w:rPr>
        <w:t>授权委托书</w:t>
      </w:r>
      <w:bookmarkEnd w:id="1283"/>
    </w:p>
    <w:p>
      <w:pPr>
        <w:rPr>
          <w:color w:val="auto"/>
          <w:szCs w:val="21"/>
          <w:highlight w:val="none"/>
        </w:rPr>
      </w:pPr>
      <w:r>
        <w:rPr>
          <w:color w:val="auto"/>
          <w:szCs w:val="21"/>
          <w:highlight w:val="none"/>
        </w:rPr>
        <w:t>致：</w:t>
      </w:r>
      <w:r>
        <w:rPr>
          <w:color w:val="auto"/>
          <w:szCs w:val="21"/>
          <w:highlight w:val="none"/>
          <w:u w:val="single"/>
        </w:rPr>
        <w:t xml:space="preserve">  （招标人全称）  </w:t>
      </w:r>
    </w:p>
    <w:p>
      <w:pPr>
        <w:topLinePunct/>
        <w:spacing w:line="360" w:lineRule="auto"/>
        <w:ind w:firstLine="420" w:firstLineChars="200"/>
        <w:rPr>
          <w:color w:val="auto"/>
          <w:szCs w:val="21"/>
          <w:highlight w:val="none"/>
        </w:rPr>
      </w:pPr>
      <w:r>
        <w:rPr>
          <w:color w:val="auto"/>
          <w:szCs w:val="21"/>
          <w:highlight w:val="none"/>
        </w:rPr>
        <w:t>本人</w:t>
      </w:r>
      <w:r>
        <w:rPr>
          <w:rFonts w:hint="eastAsia"/>
          <w:color w:val="auto"/>
          <w:highlight w:val="none"/>
          <w:u w:val="single"/>
          <w:lang w:val="en-US" w:eastAsia="zh-CN"/>
        </w:rPr>
        <w:t xml:space="preserve">     </w:t>
      </w:r>
      <w:r>
        <w:rPr>
          <w:color w:val="auto"/>
          <w:szCs w:val="21"/>
          <w:highlight w:val="none"/>
        </w:rPr>
        <w:t>（姓名）系</w:t>
      </w:r>
      <w:r>
        <w:rPr>
          <w:rFonts w:hint="eastAsia"/>
          <w:color w:val="auto"/>
          <w:highlight w:val="none"/>
          <w:u w:val="single"/>
          <w:lang w:val="en-US" w:eastAsia="zh-CN"/>
        </w:rPr>
        <w:t xml:space="preserve">     </w:t>
      </w:r>
      <w:r>
        <w:rPr>
          <w:color w:val="auto"/>
          <w:szCs w:val="21"/>
          <w:highlight w:val="none"/>
        </w:rPr>
        <w:t>（投标人名称）的法定代表人，现委托</w:t>
      </w:r>
      <w:r>
        <w:rPr>
          <w:rFonts w:hint="eastAsia"/>
          <w:color w:val="auto"/>
          <w:highlight w:val="none"/>
          <w:u w:val="single"/>
          <w:lang w:val="en-US" w:eastAsia="zh-CN"/>
        </w:rPr>
        <w:t xml:space="preserve">     </w:t>
      </w:r>
      <w:r>
        <w:rPr>
          <w:color w:val="auto"/>
          <w:szCs w:val="21"/>
          <w:highlight w:val="none"/>
        </w:rPr>
        <w:t>（姓名）为我方代理人。代理人根据授权，以我方名义</w:t>
      </w:r>
      <w:r>
        <w:rPr>
          <w:rFonts w:hint="eastAsia"/>
          <w:color w:val="auto"/>
          <w:szCs w:val="21"/>
          <w:highlight w:val="none"/>
        </w:rPr>
        <w:t>处理与</w:t>
      </w:r>
      <w:r>
        <w:rPr>
          <w:rFonts w:hint="eastAsia"/>
          <w:color w:val="auto"/>
          <w:highlight w:val="none"/>
          <w:u w:val="single"/>
          <w:lang w:val="en-US" w:eastAsia="zh-CN"/>
        </w:rPr>
        <w:t xml:space="preserve">     </w:t>
      </w:r>
      <w:r>
        <w:rPr>
          <w:rFonts w:hint="eastAsia"/>
          <w:color w:val="auto"/>
          <w:szCs w:val="21"/>
          <w:highlight w:val="none"/>
        </w:rPr>
        <w:t>（项目名称）</w:t>
      </w:r>
      <w:r>
        <w:rPr>
          <w:rFonts w:hint="eastAsia"/>
          <w:color w:val="auto"/>
          <w:highlight w:val="none"/>
          <w:u w:val="single"/>
          <w:lang w:val="en-US" w:eastAsia="zh-CN"/>
        </w:rPr>
        <w:t xml:space="preserve">     </w:t>
      </w:r>
      <w:r>
        <w:rPr>
          <w:rFonts w:hint="eastAsia"/>
          <w:color w:val="auto"/>
          <w:szCs w:val="21"/>
          <w:highlight w:val="none"/>
        </w:rPr>
        <w:t>（标段名称）招投标相关的事宜：</w:t>
      </w:r>
    </w:p>
    <w:p>
      <w:pPr>
        <w:topLinePunct/>
        <w:spacing w:line="440" w:lineRule="exact"/>
        <w:ind w:firstLine="420" w:firstLineChars="200"/>
        <w:rPr>
          <w:color w:val="auto"/>
          <w:szCs w:val="21"/>
          <w:highlight w:val="none"/>
        </w:rPr>
      </w:pPr>
      <w:r>
        <w:rPr>
          <w:rFonts w:hint="eastAsia" w:ascii="宋体" w:hAnsi="宋体"/>
          <w:color w:val="auto"/>
          <w:szCs w:val="21"/>
          <w:highlight w:val="none"/>
        </w:rPr>
        <w:t>□</w:t>
      </w:r>
      <w:r>
        <w:rPr>
          <w:color w:val="auto"/>
          <w:szCs w:val="21"/>
          <w:highlight w:val="none"/>
        </w:rPr>
        <w:t>递交、</w:t>
      </w:r>
      <w:r>
        <w:rPr>
          <w:rFonts w:hint="eastAsia"/>
          <w:color w:val="auto"/>
          <w:szCs w:val="21"/>
          <w:highlight w:val="none"/>
        </w:rPr>
        <w:t>澄清、说明、补正、撤回、修改投标文件；</w:t>
      </w:r>
    </w:p>
    <w:p>
      <w:pPr>
        <w:topLinePunct/>
        <w:spacing w:line="440" w:lineRule="exact"/>
        <w:ind w:firstLine="420" w:firstLineChars="200"/>
        <w:rPr>
          <w:color w:val="auto"/>
          <w:szCs w:val="21"/>
          <w:highlight w:val="none"/>
        </w:rPr>
      </w:pPr>
      <w:r>
        <w:rPr>
          <w:rFonts w:hint="eastAsia" w:ascii="宋体" w:hAnsi="宋体"/>
          <w:color w:val="auto"/>
          <w:szCs w:val="21"/>
          <w:highlight w:val="none"/>
        </w:rPr>
        <w:t>□</w:t>
      </w:r>
      <w:r>
        <w:rPr>
          <w:rFonts w:hint="eastAsia"/>
          <w:color w:val="auto"/>
          <w:szCs w:val="21"/>
          <w:highlight w:val="none"/>
        </w:rPr>
        <w:t>作为投标人代表参加开标；</w:t>
      </w:r>
    </w:p>
    <w:p>
      <w:pPr>
        <w:topLinePunct/>
        <w:spacing w:line="440" w:lineRule="exact"/>
        <w:ind w:firstLine="420" w:firstLineChars="200"/>
        <w:rPr>
          <w:color w:val="auto"/>
          <w:szCs w:val="21"/>
          <w:highlight w:val="none"/>
        </w:rPr>
      </w:pPr>
      <w:r>
        <w:rPr>
          <w:rFonts w:hint="eastAsia" w:ascii="宋体" w:hAnsi="宋体"/>
          <w:color w:val="auto"/>
          <w:szCs w:val="21"/>
          <w:highlight w:val="none"/>
        </w:rPr>
        <w:t>□</w:t>
      </w:r>
      <w:r>
        <w:rPr>
          <w:rFonts w:hint="eastAsia"/>
          <w:color w:val="auto"/>
          <w:szCs w:val="21"/>
          <w:highlight w:val="none"/>
        </w:rPr>
        <w:t>按照招标文件规定提出异议；</w:t>
      </w:r>
    </w:p>
    <w:p>
      <w:pPr>
        <w:topLinePunct/>
        <w:spacing w:line="440" w:lineRule="exact"/>
        <w:ind w:firstLine="420" w:firstLineChars="200"/>
        <w:rPr>
          <w:color w:val="auto"/>
          <w:szCs w:val="21"/>
          <w:highlight w:val="none"/>
        </w:rPr>
      </w:pPr>
      <w:r>
        <w:rPr>
          <w:rFonts w:hint="eastAsia" w:ascii="宋体" w:hAnsi="宋体"/>
          <w:color w:val="auto"/>
          <w:szCs w:val="21"/>
          <w:highlight w:val="none"/>
        </w:rPr>
        <w:t>□</w:t>
      </w:r>
      <w:r>
        <w:rPr>
          <w:rFonts w:hint="eastAsia"/>
          <w:color w:val="auto"/>
          <w:szCs w:val="21"/>
          <w:highlight w:val="none"/>
        </w:rPr>
        <w:t>签订合同；</w:t>
      </w:r>
    </w:p>
    <w:p>
      <w:pPr>
        <w:topLinePunct/>
        <w:spacing w:line="440" w:lineRule="exact"/>
        <w:ind w:firstLine="420" w:firstLineChars="200"/>
        <w:rPr>
          <w:color w:val="auto"/>
          <w:szCs w:val="21"/>
          <w:highlight w:val="none"/>
        </w:rPr>
      </w:pPr>
      <w:r>
        <w:rPr>
          <w:rFonts w:hint="eastAsia" w:ascii="宋体" w:hAnsi="宋体"/>
          <w:color w:val="auto"/>
          <w:szCs w:val="21"/>
          <w:highlight w:val="none"/>
        </w:rPr>
        <w:t>□</w:t>
      </w:r>
      <w:r>
        <w:rPr>
          <w:rFonts w:hint="eastAsia"/>
          <w:color w:val="auto"/>
          <w:szCs w:val="21"/>
          <w:highlight w:val="none"/>
        </w:rPr>
        <w:t>处理其他事宜：。</w:t>
      </w:r>
    </w:p>
    <w:p>
      <w:pPr>
        <w:topLinePunct/>
        <w:spacing w:line="440" w:lineRule="exact"/>
        <w:ind w:firstLine="420" w:firstLineChars="200"/>
        <w:rPr>
          <w:color w:val="auto"/>
          <w:szCs w:val="21"/>
          <w:highlight w:val="none"/>
        </w:rPr>
      </w:pPr>
      <w:r>
        <w:rPr>
          <w:rFonts w:hint="eastAsia"/>
          <w:color w:val="auto"/>
          <w:szCs w:val="21"/>
          <w:highlight w:val="none"/>
        </w:rPr>
        <w:t>以上授权</w:t>
      </w:r>
      <w:r>
        <w:rPr>
          <w:color w:val="auto"/>
          <w:szCs w:val="21"/>
          <w:highlight w:val="none"/>
        </w:rPr>
        <w:t>其法律后果由我方承担。</w:t>
      </w:r>
    </w:p>
    <w:p>
      <w:pPr>
        <w:spacing w:line="440" w:lineRule="exact"/>
        <w:ind w:firstLine="435"/>
        <w:rPr>
          <w:color w:val="auto"/>
          <w:szCs w:val="21"/>
          <w:highlight w:val="none"/>
        </w:rPr>
      </w:pPr>
      <w:r>
        <w:rPr>
          <w:color w:val="auto"/>
          <w:szCs w:val="21"/>
          <w:highlight w:val="none"/>
        </w:rPr>
        <w:t>委托期限：</w:t>
      </w:r>
      <w:r>
        <w:rPr>
          <w:rFonts w:hint="eastAsia"/>
          <w:color w:val="auto"/>
          <w:szCs w:val="21"/>
          <w:highlight w:val="none"/>
        </w:rPr>
        <w:t>。</w:t>
      </w:r>
    </w:p>
    <w:p>
      <w:pPr>
        <w:spacing w:line="440" w:lineRule="exact"/>
        <w:ind w:firstLine="435"/>
        <w:rPr>
          <w:color w:val="auto"/>
          <w:szCs w:val="21"/>
          <w:highlight w:val="none"/>
        </w:rPr>
      </w:pPr>
      <w:r>
        <w:rPr>
          <w:rFonts w:hint="eastAsia"/>
          <w:color w:val="auto"/>
          <w:szCs w:val="21"/>
          <w:highlight w:val="none"/>
        </w:rPr>
        <w:t>联系方式：。</w:t>
      </w:r>
    </w:p>
    <w:p>
      <w:pPr>
        <w:spacing w:line="440" w:lineRule="exact"/>
        <w:ind w:firstLine="420" w:firstLineChars="200"/>
        <w:rPr>
          <w:color w:val="auto"/>
          <w:szCs w:val="21"/>
          <w:highlight w:val="none"/>
        </w:rPr>
      </w:pPr>
      <w:r>
        <w:rPr>
          <w:color w:val="auto"/>
          <w:szCs w:val="21"/>
          <w:highlight w:val="none"/>
        </w:rPr>
        <w:t>代理人无转委托权。</w:t>
      </w:r>
    </w:p>
    <w:p>
      <w:pPr>
        <w:spacing w:line="440" w:lineRule="exact"/>
        <w:ind w:firstLine="420" w:firstLineChars="200"/>
        <w:rPr>
          <w:color w:val="auto"/>
          <w:szCs w:val="21"/>
          <w:highlight w:val="none"/>
        </w:rPr>
      </w:pPr>
      <w:r>
        <w:rPr>
          <w:rFonts w:hint="eastAsia"/>
          <w:color w:val="auto"/>
          <w:szCs w:val="21"/>
          <w:highlight w:val="none"/>
        </w:rPr>
        <w:t>附：1</w:t>
      </w:r>
      <w:r>
        <w:rPr>
          <w:rFonts w:hint="eastAsia" w:ascii="宋体" w:hAnsi="宋体"/>
          <w:bCs/>
          <w:color w:val="auto"/>
          <w:szCs w:val="21"/>
          <w:highlight w:val="none"/>
        </w:rPr>
        <w:t>．法定代表人身份证明</w:t>
      </w:r>
    </w:p>
    <w:p>
      <w:pPr>
        <w:spacing w:line="440" w:lineRule="exact"/>
        <w:ind w:firstLine="840" w:firstLineChars="400"/>
        <w:rPr>
          <w:color w:val="auto"/>
          <w:szCs w:val="21"/>
          <w:highlight w:val="none"/>
        </w:rPr>
      </w:pPr>
      <w:r>
        <w:rPr>
          <w:rFonts w:hint="eastAsia" w:ascii="宋体" w:hAnsi="宋体"/>
          <w:bCs/>
          <w:color w:val="auto"/>
          <w:szCs w:val="21"/>
          <w:highlight w:val="none"/>
        </w:rPr>
        <w:t>2．委托代理人身份证复印件</w:t>
      </w:r>
    </w:p>
    <w:p>
      <w:pPr>
        <w:spacing w:line="440" w:lineRule="exact"/>
        <w:rPr>
          <w:color w:val="auto"/>
          <w:szCs w:val="21"/>
          <w:highlight w:val="none"/>
        </w:rPr>
      </w:pPr>
    </w:p>
    <w:p>
      <w:pPr>
        <w:spacing w:line="480" w:lineRule="auto"/>
        <w:ind w:firstLine="3402" w:firstLineChars="1620"/>
        <w:jc w:val="left"/>
        <w:rPr>
          <w:color w:val="auto"/>
          <w:szCs w:val="21"/>
          <w:highlight w:val="none"/>
        </w:rPr>
      </w:pPr>
      <w:r>
        <w:rPr>
          <w:color w:val="auto"/>
          <w:szCs w:val="21"/>
          <w:highlight w:val="none"/>
        </w:rPr>
        <w:t>投标人：（盖单位章）</w:t>
      </w:r>
    </w:p>
    <w:p>
      <w:pPr>
        <w:spacing w:line="480" w:lineRule="auto"/>
        <w:ind w:firstLine="3402" w:firstLineChars="1620"/>
        <w:jc w:val="left"/>
        <w:rPr>
          <w:color w:val="auto"/>
          <w:szCs w:val="21"/>
          <w:highlight w:val="none"/>
        </w:rPr>
      </w:pPr>
      <w:r>
        <w:rPr>
          <w:color w:val="auto"/>
          <w:szCs w:val="21"/>
          <w:highlight w:val="none"/>
        </w:rPr>
        <w:t>法定代表人：（签字）</w:t>
      </w:r>
    </w:p>
    <w:p>
      <w:pPr>
        <w:spacing w:line="480" w:lineRule="auto"/>
        <w:ind w:firstLine="3402" w:firstLineChars="1620"/>
        <w:jc w:val="left"/>
        <w:rPr>
          <w:color w:val="auto"/>
          <w:szCs w:val="21"/>
          <w:highlight w:val="none"/>
        </w:rPr>
      </w:pPr>
      <w:r>
        <w:rPr>
          <w:color w:val="auto"/>
          <w:szCs w:val="21"/>
          <w:highlight w:val="none"/>
        </w:rPr>
        <w:t>身份证号码：</w:t>
      </w:r>
    </w:p>
    <w:p>
      <w:pPr>
        <w:spacing w:line="480" w:lineRule="auto"/>
        <w:ind w:firstLine="3402" w:firstLineChars="1620"/>
        <w:jc w:val="left"/>
        <w:rPr>
          <w:color w:val="auto"/>
          <w:szCs w:val="21"/>
          <w:highlight w:val="none"/>
        </w:rPr>
      </w:pPr>
      <w:r>
        <w:rPr>
          <w:color w:val="auto"/>
          <w:szCs w:val="21"/>
          <w:highlight w:val="none"/>
        </w:rPr>
        <w:t>委托代理人：（签字）</w:t>
      </w:r>
    </w:p>
    <w:p>
      <w:pPr>
        <w:spacing w:line="480" w:lineRule="auto"/>
        <w:ind w:firstLine="3402" w:firstLineChars="1620"/>
        <w:jc w:val="left"/>
        <w:rPr>
          <w:color w:val="auto"/>
          <w:szCs w:val="21"/>
          <w:highlight w:val="none"/>
        </w:rPr>
      </w:pPr>
      <w:r>
        <w:rPr>
          <w:color w:val="auto"/>
          <w:szCs w:val="21"/>
          <w:highlight w:val="none"/>
        </w:rPr>
        <w:t>身份证号码：</w:t>
      </w:r>
    </w:p>
    <w:p>
      <w:pPr>
        <w:spacing w:line="440" w:lineRule="exact"/>
        <w:ind w:firstLine="5985" w:firstLineChars="2850"/>
        <w:rPr>
          <w:color w:val="auto"/>
          <w:szCs w:val="21"/>
          <w:highlight w:val="none"/>
        </w:rPr>
      </w:pP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日</w:t>
      </w:r>
    </w:p>
    <w:p>
      <w:pPr>
        <w:spacing w:line="440" w:lineRule="exact"/>
        <w:ind w:left="630" w:hanging="630" w:hangingChars="300"/>
        <w:rPr>
          <w:rFonts w:ascii="宋体" w:hAnsi="宋体"/>
          <w:color w:val="auto"/>
          <w:szCs w:val="21"/>
          <w:highlight w:val="none"/>
        </w:rPr>
      </w:pPr>
      <w:r>
        <w:rPr>
          <w:rFonts w:hint="eastAsia" w:ascii="宋体" w:hAnsi="宋体"/>
          <w:bCs/>
          <w:color w:val="auto"/>
          <w:szCs w:val="21"/>
          <w:highlight w:val="none"/>
        </w:rPr>
        <w:t>备注: 1.本授权委托书适用于根据招标文件相关规定可由委托代理人处理相关事宜时使用，授权处理事宜根据具体授权在</w:t>
      </w:r>
      <w:r>
        <w:rPr>
          <w:rFonts w:hint="eastAsia" w:ascii="宋体" w:hAnsi="宋体"/>
          <w:color w:val="auto"/>
          <w:szCs w:val="21"/>
          <w:highlight w:val="none"/>
        </w:rPr>
        <w:t>方框“□”内打钩“√”；</w:t>
      </w:r>
    </w:p>
    <w:p>
      <w:pPr>
        <w:numPr>
          <w:ilvl w:val="-1"/>
          <w:numId w:val="0"/>
        </w:numPr>
        <w:spacing w:line="360" w:lineRule="auto"/>
        <w:ind w:firstLine="518" w:firstLineChars="247"/>
        <w:jc w:val="both"/>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被授权委托的代理人必须为投标人单位的人员。</w:t>
      </w:r>
    </w:p>
    <w:p>
      <w:pPr>
        <w:numPr>
          <w:ilvl w:val="0"/>
          <w:numId w:val="0"/>
        </w:numPr>
        <w:spacing w:line="360" w:lineRule="auto"/>
        <w:jc w:val="both"/>
        <w:rPr>
          <w:rFonts w:ascii="宋体" w:hAnsi="宋体"/>
          <w:b/>
          <w:color w:val="auto"/>
          <w:sz w:val="32"/>
          <w:szCs w:val="32"/>
          <w:highlight w:val="none"/>
        </w:rPr>
      </w:pPr>
    </w:p>
    <w:p>
      <w:pPr>
        <w:pStyle w:val="4"/>
        <w:outlineLvl w:val="2"/>
        <w:rPr>
          <w:rFonts w:hint="eastAsia" w:ascii="黑体" w:hAnsi="黑体" w:eastAsia="黑体" w:cs="黑体"/>
          <w:b w:val="0"/>
          <w:bCs/>
          <w:color w:val="auto"/>
          <w:sz w:val="24"/>
          <w:szCs w:val="24"/>
          <w:highlight w:val="none"/>
          <w:lang w:val="en-US" w:eastAsia="zh-CN"/>
        </w:rPr>
      </w:pPr>
      <w:bookmarkStart w:id="1284" w:name="_Toc19746"/>
      <w:r>
        <w:rPr>
          <w:rFonts w:hint="eastAsia" w:ascii="黑体" w:hAnsi="黑体" w:eastAsia="黑体" w:cs="黑体"/>
          <w:b w:val="0"/>
          <w:bCs/>
          <w:color w:val="auto"/>
          <w:sz w:val="24"/>
          <w:szCs w:val="24"/>
          <w:highlight w:val="none"/>
          <w:lang w:val="en-US" w:eastAsia="zh-CN"/>
        </w:rPr>
        <w:t>附件十四：抽取评标基准价的下浮率记录表</w:t>
      </w:r>
      <w:bookmarkEnd w:id="1284"/>
    </w:p>
    <w:p>
      <w:pPr>
        <w:spacing w:line="360" w:lineRule="auto"/>
        <w:rPr>
          <w:rFonts w:ascii="宋体" w:hAnsi="宋体"/>
          <w:b/>
          <w:color w:val="auto"/>
          <w:szCs w:val="21"/>
          <w:highlight w:val="none"/>
        </w:rPr>
      </w:pPr>
    </w:p>
    <w:p>
      <w:pPr>
        <w:tabs>
          <w:tab w:val="left" w:pos="720"/>
        </w:tabs>
        <w:snapToGrid w:val="0"/>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抽取评标基准价的下浮率记录表</w:t>
      </w:r>
    </w:p>
    <w:p>
      <w:pPr>
        <w:tabs>
          <w:tab w:val="left" w:pos="720"/>
        </w:tabs>
        <w:snapToGrid w:val="0"/>
        <w:spacing w:line="360" w:lineRule="auto"/>
        <w:jc w:val="left"/>
        <w:rPr>
          <w:rFonts w:hint="eastAsia" w:ascii="宋体" w:hAnsi="宋体"/>
          <w:color w:val="auto"/>
          <w:sz w:val="24"/>
          <w:highlight w:val="none"/>
        </w:rPr>
      </w:pPr>
      <w:r>
        <w:rPr>
          <w:rFonts w:hint="eastAsia" w:ascii="宋体" w:hAnsi="宋体"/>
          <w:color w:val="auto"/>
          <w:sz w:val="24"/>
          <w:highlight w:val="none"/>
        </w:rPr>
        <w:t>项目名称：</w:t>
      </w:r>
    </w:p>
    <w:p>
      <w:pPr>
        <w:tabs>
          <w:tab w:val="left" w:pos="720"/>
        </w:tabs>
        <w:snapToGrid w:val="0"/>
        <w:spacing w:line="360" w:lineRule="auto"/>
        <w:jc w:val="left"/>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标段名称：</w:t>
      </w:r>
    </w:p>
    <w:p>
      <w:pPr>
        <w:tabs>
          <w:tab w:val="left" w:pos="720"/>
        </w:tabs>
        <w:snapToGrid w:val="0"/>
        <w:spacing w:line="360" w:lineRule="auto"/>
        <w:jc w:val="left"/>
        <w:rPr>
          <w:rFonts w:ascii="宋体" w:hAnsi="宋体"/>
          <w:color w:val="auto"/>
          <w:sz w:val="24"/>
          <w:highlight w:val="none"/>
        </w:rPr>
      </w:pPr>
      <w:r>
        <w:rPr>
          <w:rFonts w:hint="eastAsia" w:ascii="宋体" w:hAnsi="宋体"/>
          <w:color w:val="auto"/>
          <w:sz w:val="24"/>
          <w:highlight w:val="none"/>
        </w:rPr>
        <w:t>开标地点：</w:t>
      </w:r>
    </w:p>
    <w:tbl>
      <w:tblPr>
        <w:tblStyle w:val="2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8"/>
        <w:gridCol w:w="1534"/>
        <w:gridCol w:w="1619"/>
        <w:gridCol w:w="4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08" w:type="dxa"/>
            <w:vAlign w:val="center"/>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球号</w:t>
            </w:r>
          </w:p>
        </w:tc>
        <w:tc>
          <w:tcPr>
            <w:tcW w:w="1534" w:type="dxa"/>
            <w:vAlign w:val="center"/>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代表下浮率（%）</w:t>
            </w:r>
          </w:p>
        </w:tc>
        <w:tc>
          <w:tcPr>
            <w:tcW w:w="1619" w:type="dxa"/>
            <w:vAlign w:val="center"/>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摇出球号</w:t>
            </w:r>
          </w:p>
        </w:tc>
        <w:tc>
          <w:tcPr>
            <w:tcW w:w="4261" w:type="dxa"/>
            <w:vAlign w:val="center"/>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随机抽取的评标基准价的下浮率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08" w:type="dxa"/>
          </w:tcPr>
          <w:p>
            <w:pPr>
              <w:tabs>
                <w:tab w:val="left" w:pos="720"/>
              </w:tabs>
              <w:snapToGrid w:val="0"/>
              <w:jc w:val="center"/>
              <w:rPr>
                <w:rFonts w:ascii="宋体" w:hAnsi="宋体"/>
                <w:color w:val="auto"/>
                <w:sz w:val="24"/>
                <w:highlight w:val="none"/>
              </w:rPr>
            </w:pPr>
          </w:p>
        </w:tc>
        <w:tc>
          <w:tcPr>
            <w:tcW w:w="1534" w:type="dxa"/>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2</w:t>
            </w:r>
          </w:p>
        </w:tc>
        <w:tc>
          <w:tcPr>
            <w:tcW w:w="1619" w:type="dxa"/>
            <w:vMerge w:val="restart"/>
          </w:tcPr>
          <w:p>
            <w:pPr>
              <w:tabs>
                <w:tab w:val="left" w:pos="720"/>
              </w:tabs>
              <w:snapToGrid w:val="0"/>
              <w:jc w:val="center"/>
              <w:rPr>
                <w:rFonts w:ascii="宋体" w:hAnsi="宋体"/>
                <w:color w:val="auto"/>
                <w:sz w:val="24"/>
                <w:highlight w:val="none"/>
              </w:rPr>
            </w:pPr>
          </w:p>
        </w:tc>
        <w:tc>
          <w:tcPr>
            <w:tcW w:w="4261" w:type="dxa"/>
            <w:vMerge w:val="restart"/>
          </w:tcPr>
          <w:p>
            <w:pPr>
              <w:tabs>
                <w:tab w:val="left" w:pos="720"/>
              </w:tabs>
              <w:snapToGrid w:val="0"/>
              <w:jc w:val="center"/>
              <w:rPr>
                <w:rFonts w:ascii="宋体" w:hAnsi="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08" w:type="dxa"/>
          </w:tcPr>
          <w:p>
            <w:pPr>
              <w:tabs>
                <w:tab w:val="left" w:pos="720"/>
              </w:tabs>
              <w:snapToGrid w:val="0"/>
              <w:jc w:val="center"/>
              <w:rPr>
                <w:rFonts w:ascii="宋体" w:hAnsi="宋体"/>
                <w:color w:val="auto"/>
                <w:sz w:val="24"/>
                <w:highlight w:val="none"/>
              </w:rPr>
            </w:pPr>
          </w:p>
        </w:tc>
        <w:tc>
          <w:tcPr>
            <w:tcW w:w="1534" w:type="dxa"/>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2.5</w:t>
            </w:r>
          </w:p>
        </w:tc>
        <w:tc>
          <w:tcPr>
            <w:tcW w:w="1619" w:type="dxa"/>
            <w:vMerge w:val="continue"/>
          </w:tcPr>
          <w:p>
            <w:pPr>
              <w:tabs>
                <w:tab w:val="left" w:pos="720"/>
              </w:tabs>
              <w:snapToGrid w:val="0"/>
              <w:jc w:val="center"/>
              <w:rPr>
                <w:rFonts w:ascii="宋体" w:hAnsi="宋体"/>
                <w:color w:val="auto"/>
                <w:sz w:val="24"/>
                <w:highlight w:val="none"/>
              </w:rPr>
            </w:pPr>
          </w:p>
        </w:tc>
        <w:tc>
          <w:tcPr>
            <w:tcW w:w="4261" w:type="dxa"/>
            <w:vMerge w:val="continue"/>
          </w:tcPr>
          <w:p>
            <w:pPr>
              <w:tabs>
                <w:tab w:val="left" w:pos="720"/>
              </w:tabs>
              <w:snapToGrid w:val="0"/>
              <w:jc w:val="center"/>
              <w:rPr>
                <w:rFonts w:ascii="宋体" w:hAnsi="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08" w:type="dxa"/>
          </w:tcPr>
          <w:p>
            <w:pPr>
              <w:tabs>
                <w:tab w:val="left" w:pos="720"/>
              </w:tabs>
              <w:snapToGrid w:val="0"/>
              <w:jc w:val="center"/>
              <w:rPr>
                <w:rFonts w:ascii="宋体" w:hAnsi="宋体"/>
                <w:color w:val="auto"/>
                <w:sz w:val="24"/>
                <w:highlight w:val="none"/>
              </w:rPr>
            </w:pPr>
          </w:p>
        </w:tc>
        <w:tc>
          <w:tcPr>
            <w:tcW w:w="1534" w:type="dxa"/>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3</w:t>
            </w:r>
          </w:p>
        </w:tc>
        <w:tc>
          <w:tcPr>
            <w:tcW w:w="1619" w:type="dxa"/>
            <w:vMerge w:val="continue"/>
          </w:tcPr>
          <w:p>
            <w:pPr>
              <w:tabs>
                <w:tab w:val="left" w:pos="720"/>
              </w:tabs>
              <w:snapToGrid w:val="0"/>
              <w:jc w:val="center"/>
              <w:rPr>
                <w:rFonts w:ascii="宋体" w:hAnsi="宋体"/>
                <w:color w:val="auto"/>
                <w:sz w:val="24"/>
                <w:highlight w:val="none"/>
              </w:rPr>
            </w:pPr>
          </w:p>
        </w:tc>
        <w:tc>
          <w:tcPr>
            <w:tcW w:w="4261" w:type="dxa"/>
            <w:vMerge w:val="continue"/>
          </w:tcPr>
          <w:p>
            <w:pPr>
              <w:tabs>
                <w:tab w:val="left" w:pos="720"/>
              </w:tabs>
              <w:snapToGrid w:val="0"/>
              <w:jc w:val="center"/>
              <w:rPr>
                <w:rFonts w:ascii="宋体" w:hAnsi="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08" w:type="dxa"/>
          </w:tcPr>
          <w:p>
            <w:pPr>
              <w:tabs>
                <w:tab w:val="left" w:pos="720"/>
              </w:tabs>
              <w:snapToGrid w:val="0"/>
              <w:jc w:val="center"/>
              <w:rPr>
                <w:rFonts w:ascii="宋体" w:hAnsi="宋体"/>
                <w:color w:val="auto"/>
                <w:sz w:val="24"/>
                <w:highlight w:val="none"/>
              </w:rPr>
            </w:pPr>
          </w:p>
        </w:tc>
        <w:tc>
          <w:tcPr>
            <w:tcW w:w="1534" w:type="dxa"/>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3.5</w:t>
            </w:r>
          </w:p>
        </w:tc>
        <w:tc>
          <w:tcPr>
            <w:tcW w:w="1619" w:type="dxa"/>
            <w:vMerge w:val="continue"/>
          </w:tcPr>
          <w:p>
            <w:pPr>
              <w:tabs>
                <w:tab w:val="left" w:pos="720"/>
              </w:tabs>
              <w:snapToGrid w:val="0"/>
              <w:jc w:val="center"/>
              <w:rPr>
                <w:rFonts w:ascii="宋体" w:hAnsi="宋体"/>
                <w:color w:val="auto"/>
                <w:sz w:val="24"/>
                <w:highlight w:val="none"/>
              </w:rPr>
            </w:pPr>
          </w:p>
        </w:tc>
        <w:tc>
          <w:tcPr>
            <w:tcW w:w="4261" w:type="dxa"/>
            <w:vMerge w:val="continue"/>
          </w:tcPr>
          <w:p>
            <w:pPr>
              <w:tabs>
                <w:tab w:val="left" w:pos="720"/>
              </w:tabs>
              <w:snapToGrid w:val="0"/>
              <w:jc w:val="center"/>
              <w:rPr>
                <w:rFonts w:ascii="宋体" w:hAnsi="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08" w:type="dxa"/>
          </w:tcPr>
          <w:p>
            <w:pPr>
              <w:tabs>
                <w:tab w:val="left" w:pos="720"/>
              </w:tabs>
              <w:snapToGrid w:val="0"/>
              <w:jc w:val="center"/>
              <w:rPr>
                <w:rFonts w:ascii="宋体" w:hAnsi="宋体"/>
                <w:color w:val="auto"/>
                <w:sz w:val="24"/>
                <w:highlight w:val="none"/>
              </w:rPr>
            </w:pPr>
          </w:p>
        </w:tc>
        <w:tc>
          <w:tcPr>
            <w:tcW w:w="1534" w:type="dxa"/>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4</w:t>
            </w:r>
          </w:p>
        </w:tc>
        <w:tc>
          <w:tcPr>
            <w:tcW w:w="1619" w:type="dxa"/>
            <w:vMerge w:val="continue"/>
          </w:tcPr>
          <w:p>
            <w:pPr>
              <w:tabs>
                <w:tab w:val="left" w:pos="720"/>
              </w:tabs>
              <w:snapToGrid w:val="0"/>
              <w:jc w:val="center"/>
              <w:rPr>
                <w:rFonts w:ascii="宋体" w:hAnsi="宋体"/>
                <w:color w:val="auto"/>
                <w:sz w:val="24"/>
                <w:highlight w:val="none"/>
              </w:rPr>
            </w:pPr>
          </w:p>
        </w:tc>
        <w:tc>
          <w:tcPr>
            <w:tcW w:w="4261" w:type="dxa"/>
            <w:vMerge w:val="continue"/>
          </w:tcPr>
          <w:p>
            <w:pPr>
              <w:tabs>
                <w:tab w:val="left" w:pos="720"/>
              </w:tabs>
              <w:snapToGrid w:val="0"/>
              <w:jc w:val="center"/>
              <w:rPr>
                <w:rFonts w:ascii="宋体" w:hAnsi="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08" w:type="dxa"/>
          </w:tcPr>
          <w:p>
            <w:pPr>
              <w:tabs>
                <w:tab w:val="left" w:pos="720"/>
              </w:tabs>
              <w:snapToGrid w:val="0"/>
              <w:jc w:val="center"/>
              <w:rPr>
                <w:rFonts w:ascii="宋体" w:hAnsi="宋体"/>
                <w:color w:val="auto"/>
                <w:sz w:val="24"/>
                <w:highlight w:val="none"/>
              </w:rPr>
            </w:pPr>
          </w:p>
        </w:tc>
        <w:tc>
          <w:tcPr>
            <w:tcW w:w="1534" w:type="dxa"/>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4.5</w:t>
            </w:r>
          </w:p>
        </w:tc>
        <w:tc>
          <w:tcPr>
            <w:tcW w:w="1619" w:type="dxa"/>
            <w:vMerge w:val="continue"/>
          </w:tcPr>
          <w:p>
            <w:pPr>
              <w:tabs>
                <w:tab w:val="left" w:pos="720"/>
              </w:tabs>
              <w:snapToGrid w:val="0"/>
              <w:jc w:val="center"/>
              <w:rPr>
                <w:rFonts w:ascii="宋体" w:hAnsi="宋体"/>
                <w:color w:val="auto"/>
                <w:sz w:val="24"/>
                <w:highlight w:val="none"/>
              </w:rPr>
            </w:pPr>
          </w:p>
        </w:tc>
        <w:tc>
          <w:tcPr>
            <w:tcW w:w="4261" w:type="dxa"/>
            <w:vMerge w:val="continue"/>
          </w:tcPr>
          <w:p>
            <w:pPr>
              <w:tabs>
                <w:tab w:val="left" w:pos="720"/>
              </w:tabs>
              <w:snapToGrid w:val="0"/>
              <w:jc w:val="center"/>
              <w:rPr>
                <w:rFonts w:ascii="宋体" w:hAnsi="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08" w:type="dxa"/>
          </w:tcPr>
          <w:p>
            <w:pPr>
              <w:tabs>
                <w:tab w:val="left" w:pos="720"/>
              </w:tabs>
              <w:snapToGrid w:val="0"/>
              <w:jc w:val="center"/>
              <w:rPr>
                <w:rFonts w:ascii="宋体" w:hAnsi="宋体"/>
                <w:color w:val="auto"/>
                <w:sz w:val="24"/>
                <w:highlight w:val="none"/>
              </w:rPr>
            </w:pPr>
          </w:p>
        </w:tc>
        <w:tc>
          <w:tcPr>
            <w:tcW w:w="1534" w:type="dxa"/>
          </w:tcPr>
          <w:p>
            <w:pPr>
              <w:tabs>
                <w:tab w:val="left" w:pos="720"/>
              </w:tabs>
              <w:snapToGrid w:val="0"/>
              <w:jc w:val="center"/>
              <w:rPr>
                <w:rFonts w:ascii="宋体" w:hAnsi="宋体"/>
                <w:color w:val="auto"/>
                <w:sz w:val="24"/>
                <w:highlight w:val="none"/>
              </w:rPr>
            </w:pPr>
            <w:r>
              <w:rPr>
                <w:rFonts w:hint="eastAsia" w:ascii="宋体" w:hAnsi="宋体"/>
                <w:color w:val="auto"/>
                <w:sz w:val="24"/>
                <w:highlight w:val="none"/>
              </w:rPr>
              <w:t>5</w:t>
            </w:r>
          </w:p>
        </w:tc>
        <w:tc>
          <w:tcPr>
            <w:tcW w:w="1619" w:type="dxa"/>
            <w:vMerge w:val="continue"/>
          </w:tcPr>
          <w:p>
            <w:pPr>
              <w:tabs>
                <w:tab w:val="left" w:pos="720"/>
              </w:tabs>
              <w:snapToGrid w:val="0"/>
              <w:jc w:val="center"/>
              <w:rPr>
                <w:rFonts w:ascii="宋体" w:hAnsi="宋体"/>
                <w:color w:val="auto"/>
                <w:sz w:val="24"/>
                <w:highlight w:val="none"/>
              </w:rPr>
            </w:pPr>
          </w:p>
        </w:tc>
        <w:tc>
          <w:tcPr>
            <w:tcW w:w="4261" w:type="dxa"/>
            <w:vMerge w:val="continue"/>
          </w:tcPr>
          <w:p>
            <w:pPr>
              <w:tabs>
                <w:tab w:val="left" w:pos="720"/>
              </w:tabs>
              <w:snapToGrid w:val="0"/>
              <w:jc w:val="center"/>
              <w:rPr>
                <w:rFonts w:ascii="宋体" w:hAnsi="宋体"/>
                <w:color w:val="auto"/>
                <w:sz w:val="24"/>
                <w:highlight w:val="none"/>
              </w:rPr>
            </w:pPr>
          </w:p>
        </w:tc>
      </w:tr>
    </w:tbl>
    <w:p>
      <w:pPr>
        <w:spacing w:line="440" w:lineRule="exact"/>
        <w:rPr>
          <w:rFonts w:ascii="宋体" w:hAnsi="宋体"/>
          <w:b/>
          <w:color w:val="auto"/>
          <w:szCs w:val="21"/>
          <w:highlight w:val="none"/>
        </w:rPr>
      </w:pPr>
      <w:r>
        <w:rPr>
          <w:rFonts w:hint="eastAsia" w:ascii="宋体" w:hAnsi="宋体"/>
          <w:b/>
          <w:color w:val="auto"/>
          <w:szCs w:val="21"/>
          <w:highlight w:val="none"/>
        </w:rPr>
        <w:t>注：1、计算评标基准价的下浮率从2%、2.5%、3%、3.5%、4%、4.5%、5%中随机抽取</w:t>
      </w:r>
    </w:p>
    <w:p>
      <w:pPr>
        <w:spacing w:line="440" w:lineRule="exact"/>
        <w:rPr>
          <w:rFonts w:ascii="宋体" w:hAnsi="宋体"/>
          <w:color w:val="auto"/>
          <w:szCs w:val="21"/>
          <w:highlight w:val="none"/>
        </w:rPr>
      </w:pPr>
      <w:r>
        <w:rPr>
          <w:rFonts w:hint="eastAsia" w:ascii="宋体" w:hAnsi="宋体"/>
          <w:b/>
          <w:color w:val="auto"/>
          <w:szCs w:val="21"/>
          <w:highlight w:val="none"/>
        </w:rPr>
        <w:t xml:space="preserve">    2、球号根据</w:t>
      </w:r>
      <w:r>
        <w:rPr>
          <w:rFonts w:hint="eastAsia" w:ascii="宋体" w:hAnsi="宋体"/>
          <w:b/>
          <w:color w:val="auto"/>
          <w:szCs w:val="21"/>
          <w:highlight w:val="none"/>
          <w:u w:val="single"/>
          <w:lang w:eastAsia="zh-CN"/>
        </w:rPr>
        <w:t xml:space="preserve"> </w:t>
      </w:r>
      <w:r>
        <w:rPr>
          <w:rFonts w:hint="eastAsia" w:ascii="宋体" w:hAnsi="宋体"/>
          <w:b/>
          <w:color w:val="auto"/>
          <w:szCs w:val="21"/>
          <w:highlight w:val="none"/>
          <w:u w:val="single"/>
          <w:lang w:val="en-US" w:eastAsia="zh-CN"/>
        </w:rPr>
        <w:t xml:space="preserve">      </w:t>
      </w:r>
      <w:r>
        <w:rPr>
          <w:rFonts w:hint="eastAsia" w:ascii="宋体" w:hAnsi="宋体"/>
          <w:b/>
          <w:color w:val="auto"/>
          <w:szCs w:val="21"/>
          <w:highlight w:val="none"/>
        </w:rPr>
        <w:t>交易平台提供号球填写，如提供的球为1、2、3、4、5、6、7，则按从小到大的顺序对应填写1、2、3、4、5、6、7；如提供的球号2、2.5、3、3.5、4、4.5、5，则对应填写2、2.5、3、3.5、4、4.5、5。</w:t>
      </w:r>
    </w:p>
    <w:p>
      <w:pPr>
        <w:spacing w:line="440" w:lineRule="exact"/>
        <w:rPr>
          <w:rFonts w:ascii="宋体" w:hAnsi="宋体"/>
          <w:color w:val="auto"/>
          <w:szCs w:val="21"/>
          <w:highlight w:val="none"/>
        </w:rPr>
      </w:pPr>
    </w:p>
    <w:p>
      <w:pPr>
        <w:spacing w:line="440" w:lineRule="exact"/>
        <w:rPr>
          <w:rFonts w:ascii="宋体" w:hAnsi="宋体"/>
          <w:color w:val="auto"/>
          <w:szCs w:val="21"/>
          <w:highlight w:val="none"/>
        </w:rPr>
      </w:pPr>
      <w:r>
        <w:rPr>
          <w:rFonts w:hint="eastAsia" w:ascii="宋体" w:hAnsi="宋体"/>
          <w:color w:val="auto"/>
          <w:szCs w:val="21"/>
          <w:highlight w:val="none"/>
        </w:rPr>
        <w:t xml:space="preserve">监督人：             </w:t>
      </w:r>
    </w:p>
    <w:p>
      <w:pPr>
        <w:spacing w:line="440" w:lineRule="exact"/>
        <w:rPr>
          <w:rFonts w:ascii="宋体" w:hAnsi="宋体"/>
          <w:color w:val="auto"/>
          <w:szCs w:val="21"/>
          <w:highlight w:val="none"/>
        </w:rPr>
      </w:pPr>
    </w:p>
    <w:p>
      <w:pPr>
        <w:spacing w:line="440" w:lineRule="exact"/>
        <w:rPr>
          <w:rFonts w:ascii="宋体" w:hAnsi="宋体"/>
          <w:color w:val="auto"/>
          <w:szCs w:val="21"/>
          <w:highlight w:val="none"/>
        </w:rPr>
      </w:pPr>
      <w:r>
        <w:rPr>
          <w:rFonts w:hint="eastAsia" w:ascii="宋体" w:hAnsi="宋体"/>
          <w:color w:val="auto"/>
          <w:szCs w:val="21"/>
          <w:highlight w:val="none"/>
        </w:rPr>
        <w:t xml:space="preserve">招标代理记录人：              </w:t>
      </w:r>
    </w:p>
    <w:p>
      <w:pPr>
        <w:spacing w:line="440" w:lineRule="exact"/>
        <w:rPr>
          <w:rFonts w:ascii="宋体" w:hAnsi="宋体"/>
          <w:color w:val="auto"/>
          <w:szCs w:val="21"/>
          <w:highlight w:val="none"/>
        </w:rPr>
      </w:pPr>
    </w:p>
    <w:p>
      <w:pPr>
        <w:spacing w:line="440" w:lineRule="exact"/>
        <w:rPr>
          <w:rFonts w:ascii="宋体" w:hAnsi="宋体"/>
          <w:color w:val="auto"/>
          <w:szCs w:val="21"/>
          <w:highlight w:val="none"/>
        </w:rPr>
      </w:pPr>
      <w:r>
        <w:rPr>
          <w:rFonts w:hint="eastAsia" w:ascii="宋体" w:hAnsi="宋体"/>
          <w:color w:val="auto"/>
          <w:szCs w:val="21"/>
          <w:highlight w:val="none"/>
        </w:rPr>
        <w:t xml:space="preserve">招标代理唱标人:               </w:t>
      </w:r>
    </w:p>
    <w:p>
      <w:pPr>
        <w:spacing w:line="440" w:lineRule="exact"/>
        <w:rPr>
          <w:rFonts w:ascii="宋体" w:hAnsi="宋体"/>
          <w:color w:val="auto"/>
          <w:szCs w:val="21"/>
          <w:highlight w:val="none"/>
        </w:rPr>
      </w:pPr>
    </w:p>
    <w:p>
      <w:pPr>
        <w:spacing w:line="440" w:lineRule="exact"/>
        <w:rPr>
          <w:rFonts w:ascii="宋体" w:hAnsi="宋体"/>
          <w:color w:val="auto"/>
          <w:szCs w:val="21"/>
          <w:highlight w:val="none"/>
        </w:rPr>
      </w:pPr>
      <w:r>
        <w:rPr>
          <w:rFonts w:hint="eastAsia" w:ascii="宋体" w:hAnsi="宋体"/>
          <w:color w:val="auto"/>
          <w:szCs w:val="21"/>
          <w:highlight w:val="none"/>
        </w:rPr>
        <w:t xml:space="preserve">见证人员:              </w:t>
      </w:r>
    </w:p>
    <w:p>
      <w:pPr>
        <w:spacing w:line="440" w:lineRule="exact"/>
        <w:rPr>
          <w:rFonts w:ascii="宋体" w:hAnsi="宋体"/>
          <w:color w:val="auto"/>
          <w:szCs w:val="21"/>
          <w:highlight w:val="none"/>
        </w:rPr>
      </w:pPr>
    </w:p>
    <w:p>
      <w:pPr>
        <w:spacing w:line="440" w:lineRule="exact"/>
        <w:rPr>
          <w:rFonts w:ascii="宋体" w:hAnsi="宋体"/>
          <w:color w:val="auto"/>
          <w:szCs w:val="21"/>
          <w:highlight w:val="none"/>
        </w:rPr>
      </w:pPr>
      <w:r>
        <w:rPr>
          <w:rFonts w:hint="eastAsia" w:ascii="宋体" w:hAnsi="宋体"/>
          <w:color w:val="auto"/>
          <w:szCs w:val="21"/>
          <w:highlight w:val="none"/>
        </w:rPr>
        <w:t xml:space="preserve"> 日期:     年  月  日</w:t>
      </w:r>
    </w:p>
    <w:p>
      <w:pPr>
        <w:spacing w:line="440" w:lineRule="exact"/>
        <w:rPr>
          <w:color w:val="auto"/>
          <w:szCs w:val="21"/>
          <w:highlight w:val="none"/>
        </w:rPr>
      </w:pPr>
      <w:r>
        <w:rPr>
          <w:rFonts w:ascii="宋体" w:hAnsi="宋体"/>
          <w:color w:val="auto"/>
          <w:szCs w:val="21"/>
          <w:highlight w:val="none"/>
        </w:rPr>
        <w:br w:type="page"/>
      </w:r>
    </w:p>
    <w:p>
      <w:pPr>
        <w:pStyle w:val="31"/>
        <w:outlineLvl w:val="1"/>
        <w:rPr>
          <w:rFonts w:ascii="宋体" w:hAnsi="宋体"/>
          <w:color w:val="auto"/>
          <w:highlight w:val="none"/>
        </w:rPr>
      </w:pPr>
      <w:bookmarkStart w:id="1285" w:name="_Toc1957934938"/>
      <w:bookmarkStart w:id="1286" w:name="_Toc7290"/>
      <w:bookmarkStart w:id="1287" w:name="_Toc222033846"/>
      <w:bookmarkStart w:id="1288" w:name="_Toc10386"/>
      <w:bookmarkStart w:id="1289" w:name="_Toc8125"/>
      <w:bookmarkStart w:id="1290" w:name="_Toc222030997"/>
      <w:bookmarkStart w:id="1291" w:name="_Toc229305355"/>
      <w:bookmarkStart w:id="1292" w:name="_Toc168476116"/>
      <w:bookmarkStart w:id="1293" w:name="_Toc1738319998"/>
      <w:bookmarkStart w:id="1294" w:name="_Toc387753573"/>
      <w:bookmarkStart w:id="1295" w:name="_Toc168475713"/>
      <w:bookmarkStart w:id="1296" w:name="_Toc221950443"/>
      <w:bookmarkStart w:id="1297" w:name="_Toc222029495"/>
      <w:bookmarkStart w:id="1298" w:name="_Toc1619"/>
      <w:bookmarkStart w:id="1299" w:name="_Toc222032664"/>
      <w:bookmarkStart w:id="1300" w:name="_Toc144974565"/>
      <w:bookmarkStart w:id="1301" w:name="_Toc6939"/>
      <w:bookmarkStart w:id="1302" w:name="_Toc16078"/>
      <w:r>
        <w:rPr>
          <w:rFonts w:hint="eastAsia"/>
          <w:color w:val="auto"/>
          <w:highlight w:val="none"/>
          <w:lang w:eastAsia="zh-CN"/>
        </w:rPr>
        <w:t>第三章</w:t>
      </w:r>
      <w:r>
        <w:rPr>
          <w:rFonts w:hint="eastAsia"/>
          <w:color w:val="auto"/>
          <w:highlight w:val="none"/>
        </w:rPr>
        <w:t xml:space="preserve"> 评标办法（</w:t>
      </w:r>
      <w:r>
        <w:rPr>
          <w:rFonts w:hint="eastAsia"/>
          <w:color w:val="auto"/>
          <w:highlight w:val="none"/>
          <w:lang w:eastAsia="zh-CN"/>
        </w:rPr>
        <w:t>综合</w:t>
      </w:r>
      <w:r>
        <w:rPr>
          <w:rFonts w:hint="eastAsia"/>
          <w:color w:val="auto"/>
          <w:highlight w:val="none"/>
          <w:lang w:val="en-US" w:eastAsia="zh-CN"/>
        </w:rPr>
        <w:t>评分</w:t>
      </w:r>
      <w:r>
        <w:rPr>
          <w:rFonts w:hint="eastAsia"/>
          <w:color w:val="auto"/>
          <w:highlight w:val="none"/>
        </w:rPr>
        <w:t>法）</w:t>
      </w:r>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p>
    <w:p>
      <w:pPr>
        <w:spacing w:line="360" w:lineRule="auto"/>
        <w:ind w:firstLine="560" w:firstLineChars="200"/>
        <w:jc w:val="center"/>
        <w:outlineLvl w:val="2"/>
        <w:rPr>
          <w:rFonts w:ascii="黑体" w:hAnsi="黑体" w:eastAsia="黑体"/>
          <w:color w:val="auto"/>
          <w:sz w:val="28"/>
          <w:szCs w:val="27"/>
          <w:highlight w:val="none"/>
        </w:rPr>
      </w:pPr>
      <w:bookmarkStart w:id="1303" w:name="_Toc21787687"/>
      <w:bookmarkStart w:id="1304" w:name="_Toc22171"/>
      <w:bookmarkStart w:id="1305" w:name="_Toc1745251353"/>
      <w:bookmarkStart w:id="1306" w:name="_Toc222032665"/>
      <w:bookmarkStart w:id="1307" w:name="_Toc168476117"/>
      <w:bookmarkStart w:id="1308" w:name="_Toc168475714"/>
      <w:bookmarkStart w:id="1309" w:name="_Toc222033847"/>
      <w:bookmarkStart w:id="1310" w:name="_Toc144974566"/>
      <w:bookmarkStart w:id="1311" w:name="_Toc28678"/>
      <w:bookmarkStart w:id="1312" w:name="_Toc222029496"/>
      <w:bookmarkStart w:id="1313" w:name="_Toc31022"/>
      <w:bookmarkStart w:id="1314" w:name="_Toc387753574"/>
      <w:bookmarkStart w:id="1315" w:name="_Toc221950444"/>
      <w:bookmarkStart w:id="1316" w:name="_Toc119944199"/>
      <w:bookmarkStart w:id="1317" w:name="_Toc29832"/>
      <w:bookmarkStart w:id="1318" w:name="_Toc13388"/>
      <w:bookmarkStart w:id="1319" w:name="_Toc18854"/>
      <w:bookmarkStart w:id="1320" w:name="_Toc222030998"/>
      <w:bookmarkStart w:id="1321" w:name="_Toc229305356"/>
      <w:r>
        <w:rPr>
          <w:rFonts w:hint="eastAsia" w:ascii="黑体" w:hAnsi="黑体" w:eastAsia="黑体"/>
          <w:color w:val="auto"/>
          <w:sz w:val="28"/>
          <w:szCs w:val="27"/>
          <w:highlight w:val="none"/>
        </w:rPr>
        <w:t>评标办法修改表</w:t>
      </w:r>
      <w:bookmarkEnd w:id="1303"/>
      <w:bookmarkEnd w:id="1304"/>
    </w:p>
    <w:p>
      <w:pPr>
        <w:pStyle w:val="7"/>
        <w:spacing w:after="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声明：本评标办法使用</w:t>
      </w:r>
      <w:r>
        <w:rPr>
          <w:rFonts w:hint="eastAsia" w:ascii="宋体" w:hAnsi="宋体" w:eastAsia="宋体" w:cs="宋体"/>
          <w:color w:val="auto"/>
          <w:sz w:val="21"/>
          <w:szCs w:val="21"/>
          <w:highlight w:val="none"/>
          <w:lang w:val="en-US" w:eastAsia="zh-CN"/>
        </w:rPr>
        <w:t>本示范文本</w:t>
      </w:r>
      <w:r>
        <w:rPr>
          <w:rFonts w:hint="eastAsia" w:ascii="宋体" w:hAnsi="宋体" w:eastAsia="宋体" w:cs="宋体"/>
          <w:color w:val="auto"/>
          <w:sz w:val="21"/>
          <w:szCs w:val="21"/>
          <w:highlight w:val="none"/>
        </w:rPr>
        <w:t>的评标办法条款，与该条款不同之处，均在本表中列明，并以现文为准，原文不再有效。本</w:t>
      </w:r>
      <w:r>
        <w:rPr>
          <w:rFonts w:hint="eastAsia" w:ascii="宋体" w:hAnsi="宋体" w:eastAsia="宋体" w:cs="宋体"/>
          <w:color w:val="auto"/>
          <w:sz w:val="21"/>
          <w:szCs w:val="21"/>
          <w:highlight w:val="none"/>
          <w:lang w:val="en-US" w:eastAsia="zh-CN"/>
        </w:rPr>
        <w:t>示范文本</w:t>
      </w:r>
      <w:r>
        <w:rPr>
          <w:rFonts w:hint="eastAsia" w:ascii="宋体" w:hAnsi="宋体" w:eastAsia="宋体" w:cs="宋体"/>
          <w:color w:val="auto"/>
          <w:sz w:val="21"/>
          <w:szCs w:val="21"/>
          <w:highlight w:val="none"/>
        </w:rPr>
        <w:t>请投标人自行到</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网站（网址：</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w:instrText>
      </w:r>
      <w:bookmarkStart w:id="1322" w:name="_Toc359263255"/>
      <w:bookmarkStart w:id="1323" w:name="_Toc152042361"/>
      <w:bookmarkStart w:id="1324" w:name="_Toc246996970"/>
      <w:bookmarkStart w:id="1325" w:name="_Toc246996227"/>
      <w:bookmarkStart w:id="1326" w:name="_Toc179632602"/>
      <w:bookmarkStart w:id="1327" w:name="_Toc332641309"/>
      <w:bookmarkStart w:id="1328" w:name="_Toc247085742"/>
      <w:bookmarkStart w:id="1329" w:name="_Toc152045584"/>
      <w:r>
        <w:rPr>
          <w:rFonts w:hint="eastAsia" w:ascii="宋体" w:hAnsi="宋体" w:eastAsia="宋体" w:cs="宋体"/>
          <w:color w:val="auto"/>
          <w:sz w:val="21"/>
          <w:szCs w:val="21"/>
          <w:highlight w:val="none"/>
        </w:rPr>
        <w:instrText xml:space="preserve">LINK "htt</w:instrText>
      </w:r>
      <w:bookmarkEnd w:id="1322"/>
      <w:bookmarkEnd w:id="1323"/>
      <w:bookmarkEnd w:id="1324"/>
      <w:bookmarkEnd w:id="1325"/>
      <w:bookmarkEnd w:id="1326"/>
      <w:bookmarkEnd w:id="1327"/>
      <w:bookmarkEnd w:id="1328"/>
      <w:bookmarkEnd w:id="1329"/>
      <w:r>
        <w:rPr>
          <w:rFonts w:hint="eastAsia" w:ascii="宋体" w:hAnsi="宋体" w:eastAsia="宋体" w:cs="宋体"/>
          <w:color w:val="auto"/>
          <w:sz w:val="21"/>
          <w:szCs w:val="21"/>
          <w:highlight w:val="none"/>
        </w:rPr>
        <w:instrText xml:space="preserve">p://www.gzwater.gov.cn）下载查阅" </w:instrText>
      </w:r>
      <w:r>
        <w:rPr>
          <w:rFonts w:hint="eastAsia" w:ascii="宋体" w:hAnsi="宋体" w:eastAsia="宋体" w:cs="宋体"/>
          <w:color w:val="auto"/>
          <w:sz w:val="21"/>
          <w:szCs w:val="21"/>
          <w:highlight w:val="none"/>
        </w:rPr>
        <w:fldChar w:fldCharType="separate"/>
      </w:r>
      <w:r>
        <w:rPr>
          <w:rStyle w:val="25"/>
          <w:rFonts w:hint="eastAsia" w:ascii="宋体" w:hAnsi="宋体" w:eastAsia="宋体" w:cs="宋体"/>
          <w:color w:val="auto"/>
          <w:sz w:val="21"/>
          <w:szCs w:val="21"/>
          <w:highlight w:val="none"/>
        </w:rPr>
        <w:t>下载查阅</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t>。</w:t>
      </w:r>
    </w:p>
    <w:p>
      <w:pPr>
        <w:spacing w:line="480" w:lineRule="auto"/>
        <w:ind w:firstLine="470" w:firstLineChars="224"/>
        <w:rPr>
          <w:rFonts w:hint="eastAsia" w:ascii="宋体" w:hAnsi="宋体" w:cs="宋体"/>
          <w:color w:val="auto"/>
          <w:sz w:val="21"/>
          <w:szCs w:val="21"/>
          <w:highlight w:val="none"/>
        </w:rPr>
      </w:pPr>
      <w:r>
        <w:rPr>
          <w:rFonts w:hint="eastAsia" w:ascii="宋体" w:hAnsi="宋体" w:cs="宋体"/>
          <w:color w:val="auto"/>
          <w:sz w:val="21"/>
          <w:szCs w:val="21"/>
          <w:highlight w:val="none"/>
        </w:rPr>
        <w:t>条款号：</w:t>
      </w:r>
      <w:bookmarkStart w:id="1330" w:name="_Toc262229169"/>
      <w:bookmarkEnd w:id="1330"/>
      <w:bookmarkStart w:id="1331" w:name="_Toc155150493"/>
      <w:bookmarkEnd w:id="1331"/>
      <w:bookmarkStart w:id="1332" w:name="_Toc359263257"/>
      <w:bookmarkEnd w:id="1332"/>
      <w:r>
        <w:rPr>
          <w:rFonts w:hint="eastAsia" w:ascii="宋体" w:hAnsi="宋体" w:cs="宋体"/>
          <w:color w:val="auto"/>
          <w:sz w:val="21"/>
          <w:szCs w:val="21"/>
          <w:highlight w:val="none"/>
        </w:rPr>
        <w:t xml:space="preserve">    修改类型：增加</w:t>
      </w:r>
    </w:p>
    <w:p>
      <w:pPr>
        <w:pBdr>
          <w:bottom w:val="single" w:color="auto" w:sz="6" w:space="1"/>
        </w:pBdr>
        <w:spacing w:line="480" w:lineRule="auto"/>
        <w:ind w:firstLine="470" w:firstLineChars="224"/>
        <w:rPr>
          <w:rFonts w:hint="eastAsia" w:ascii="宋体" w:hAnsi="宋体" w:cs="宋体"/>
          <w:color w:val="auto"/>
          <w:sz w:val="21"/>
          <w:szCs w:val="21"/>
          <w:highlight w:val="none"/>
        </w:rPr>
      </w:pPr>
      <w:r>
        <w:rPr>
          <w:rFonts w:hint="eastAsia" w:ascii="宋体" w:hAnsi="宋体" w:cs="宋体"/>
          <w:color w:val="auto"/>
          <w:sz w:val="21"/>
          <w:szCs w:val="21"/>
          <w:highlight w:val="none"/>
        </w:rPr>
        <w:t>现文：</w:t>
      </w:r>
    </w:p>
    <w:p>
      <w:pPr>
        <w:spacing w:line="480" w:lineRule="auto"/>
        <w:ind w:firstLine="470" w:firstLineChars="224"/>
        <w:rPr>
          <w:rFonts w:hint="eastAsia" w:ascii="宋体" w:hAnsi="宋体" w:cs="宋体"/>
          <w:color w:val="auto"/>
          <w:sz w:val="21"/>
          <w:szCs w:val="21"/>
          <w:highlight w:val="none"/>
        </w:rPr>
      </w:pPr>
      <w:r>
        <w:rPr>
          <w:rFonts w:hint="eastAsia" w:ascii="宋体" w:hAnsi="宋体" w:cs="宋体"/>
          <w:color w:val="auto"/>
          <w:sz w:val="21"/>
          <w:szCs w:val="21"/>
          <w:highlight w:val="none"/>
        </w:rPr>
        <w:t>条款号：             修改类型：删除</w:t>
      </w:r>
    </w:p>
    <w:p>
      <w:pPr>
        <w:pBdr>
          <w:bottom w:val="single" w:color="auto" w:sz="6" w:space="1"/>
        </w:pBdr>
        <w:spacing w:line="480" w:lineRule="auto"/>
        <w:ind w:firstLine="470" w:firstLineChars="224"/>
        <w:rPr>
          <w:rFonts w:hint="eastAsia" w:ascii="宋体" w:hAnsi="宋体" w:cs="宋体"/>
          <w:color w:val="auto"/>
          <w:sz w:val="21"/>
          <w:szCs w:val="21"/>
          <w:highlight w:val="none"/>
        </w:rPr>
      </w:pPr>
      <w:r>
        <w:rPr>
          <w:rFonts w:hint="eastAsia" w:ascii="宋体" w:hAnsi="宋体" w:cs="宋体"/>
          <w:color w:val="auto"/>
          <w:sz w:val="21"/>
          <w:szCs w:val="21"/>
          <w:highlight w:val="none"/>
        </w:rPr>
        <w:t>原文：</w:t>
      </w:r>
    </w:p>
    <w:p>
      <w:pPr>
        <w:spacing w:line="480" w:lineRule="auto"/>
        <w:ind w:firstLine="470" w:firstLineChars="224"/>
        <w:rPr>
          <w:rFonts w:hint="eastAsia" w:ascii="宋体" w:hAnsi="宋体" w:cs="宋体"/>
          <w:color w:val="auto"/>
          <w:sz w:val="21"/>
          <w:szCs w:val="21"/>
          <w:highlight w:val="none"/>
        </w:rPr>
      </w:pPr>
      <w:r>
        <w:rPr>
          <w:rFonts w:hint="eastAsia" w:ascii="宋体" w:hAnsi="宋体" w:cs="宋体"/>
          <w:color w:val="auto"/>
          <w:sz w:val="21"/>
          <w:szCs w:val="21"/>
          <w:highlight w:val="none"/>
        </w:rPr>
        <w:t>条款号：             修改类型：修改</w:t>
      </w:r>
    </w:p>
    <w:p>
      <w:pPr>
        <w:spacing w:line="480" w:lineRule="auto"/>
        <w:ind w:firstLine="470" w:firstLineChars="224"/>
        <w:rPr>
          <w:rFonts w:hint="eastAsia" w:ascii="宋体" w:hAnsi="宋体" w:cs="宋体"/>
          <w:color w:val="auto"/>
          <w:sz w:val="21"/>
          <w:szCs w:val="21"/>
          <w:highlight w:val="none"/>
        </w:rPr>
      </w:pPr>
      <w:r>
        <w:rPr>
          <w:rFonts w:hint="eastAsia" w:ascii="宋体" w:hAnsi="宋体" w:cs="宋体"/>
          <w:color w:val="auto"/>
          <w:sz w:val="21"/>
          <w:szCs w:val="21"/>
          <w:highlight w:val="none"/>
        </w:rPr>
        <w:t>原文：</w:t>
      </w:r>
    </w:p>
    <w:p>
      <w:pPr>
        <w:pBdr>
          <w:bottom w:val="single" w:color="auto" w:sz="6" w:space="1"/>
        </w:pBdr>
        <w:spacing w:line="480" w:lineRule="auto"/>
        <w:ind w:firstLine="470" w:firstLineChars="224"/>
        <w:rPr>
          <w:rFonts w:hint="eastAsia" w:ascii="宋体" w:hAnsi="宋体" w:cs="宋体"/>
          <w:color w:val="auto"/>
          <w:sz w:val="21"/>
          <w:szCs w:val="21"/>
          <w:highlight w:val="none"/>
        </w:rPr>
      </w:pPr>
      <w:r>
        <w:rPr>
          <w:rFonts w:hint="eastAsia" w:ascii="宋体" w:hAnsi="宋体" w:cs="宋体"/>
          <w:color w:val="auto"/>
          <w:sz w:val="21"/>
          <w:szCs w:val="21"/>
          <w:highlight w:val="none"/>
        </w:rPr>
        <w:t>现文：</w:t>
      </w:r>
    </w:p>
    <w:p>
      <w:pPr>
        <w:spacing w:line="360" w:lineRule="auto"/>
        <w:ind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注：以上修改，仅限于本范本中有可供选择条</w:t>
      </w:r>
    </w:p>
    <w:p>
      <w:pPr>
        <w:rPr>
          <w:rFonts w:hint="eastAsia"/>
          <w:b w:val="0"/>
          <w:bCs w:val="0"/>
          <w:color w:val="auto"/>
          <w:sz w:val="24"/>
          <w:szCs w:val="24"/>
          <w:highlight w:val="none"/>
        </w:rPr>
      </w:pPr>
      <w:r>
        <w:rPr>
          <w:rFonts w:hint="eastAsia"/>
          <w:b w:val="0"/>
          <w:bCs w:val="0"/>
          <w:color w:val="auto"/>
          <w:sz w:val="24"/>
          <w:szCs w:val="24"/>
          <w:highlight w:val="none"/>
        </w:rPr>
        <w:br w:type="page"/>
      </w:r>
    </w:p>
    <w:p>
      <w:pPr>
        <w:pStyle w:val="4"/>
        <w:spacing w:before="120" w:afterLines="50"/>
        <w:jc w:val="center"/>
        <w:rPr>
          <w:rFonts w:hint="eastAsia" w:ascii="方正黑体_GBK" w:hAnsi="方正黑体_GBK" w:eastAsia="方正黑体_GBK" w:cs="方正黑体_GBK"/>
          <w:b w:val="0"/>
          <w:bCs w:val="0"/>
          <w:color w:val="auto"/>
          <w:sz w:val="24"/>
          <w:szCs w:val="24"/>
          <w:highlight w:val="none"/>
        </w:rPr>
      </w:pPr>
      <w:bookmarkStart w:id="1333" w:name="_Toc8035"/>
      <w:r>
        <w:rPr>
          <w:rFonts w:hint="eastAsia" w:ascii="方正黑体_GBK" w:hAnsi="方正黑体_GBK" w:eastAsia="方正黑体_GBK" w:cs="方正黑体_GBK"/>
          <w:b w:val="0"/>
          <w:bCs w:val="0"/>
          <w:color w:val="auto"/>
          <w:sz w:val="24"/>
          <w:szCs w:val="24"/>
          <w:highlight w:val="none"/>
        </w:rPr>
        <w:t>评标办法前附表</w:t>
      </w:r>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33"/>
    </w:p>
    <w:tbl>
      <w:tblPr>
        <w:tblStyle w:val="28"/>
        <w:tblW w:w="89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630"/>
        <w:gridCol w:w="273"/>
        <w:gridCol w:w="903"/>
        <w:gridCol w:w="933"/>
        <w:gridCol w:w="10"/>
        <w:gridCol w:w="5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1455" w:type="dxa"/>
            <w:gridSpan w:val="2"/>
            <w:vAlign w:val="center"/>
          </w:tcPr>
          <w:p>
            <w:pPr>
              <w:jc w:val="center"/>
              <w:rPr>
                <w:rFonts w:ascii="宋体" w:hAnsi="宋体" w:cs="宋体"/>
                <w:b/>
                <w:color w:val="auto"/>
                <w:szCs w:val="21"/>
                <w:highlight w:val="none"/>
              </w:rPr>
            </w:pPr>
            <w:bookmarkStart w:id="1334" w:name="_Toc221950445"/>
            <w:r>
              <w:rPr>
                <w:rFonts w:hint="eastAsia" w:ascii="宋体" w:hAnsi="宋体" w:cs="宋体"/>
                <w:b/>
                <w:color w:val="auto"/>
                <w:szCs w:val="21"/>
                <w:highlight w:val="none"/>
              </w:rPr>
              <w:t>条款号</w:t>
            </w:r>
            <w:bookmarkEnd w:id="1334"/>
          </w:p>
        </w:tc>
        <w:tc>
          <w:tcPr>
            <w:tcW w:w="2119" w:type="dxa"/>
            <w:gridSpan w:val="4"/>
            <w:vAlign w:val="center"/>
          </w:tcPr>
          <w:p>
            <w:pPr>
              <w:jc w:val="center"/>
              <w:rPr>
                <w:rFonts w:ascii="宋体" w:hAnsi="宋体" w:cs="宋体"/>
                <w:b/>
                <w:color w:val="auto"/>
                <w:szCs w:val="21"/>
                <w:highlight w:val="none"/>
              </w:rPr>
            </w:pPr>
            <w:bookmarkStart w:id="1335" w:name="_Toc221950446"/>
            <w:r>
              <w:rPr>
                <w:rFonts w:hint="eastAsia" w:ascii="宋体" w:hAnsi="宋体" w:cs="宋体"/>
                <w:b/>
                <w:color w:val="auto"/>
                <w:szCs w:val="21"/>
                <w:highlight w:val="none"/>
              </w:rPr>
              <w:t>评审因素</w:t>
            </w:r>
            <w:bookmarkEnd w:id="1335"/>
          </w:p>
        </w:tc>
        <w:tc>
          <w:tcPr>
            <w:tcW w:w="5404" w:type="dxa"/>
            <w:vAlign w:val="center"/>
          </w:tcPr>
          <w:p>
            <w:pPr>
              <w:jc w:val="center"/>
              <w:rPr>
                <w:rFonts w:ascii="宋体" w:hAnsi="宋体" w:cs="宋体"/>
                <w:b/>
                <w:color w:val="auto"/>
                <w:szCs w:val="21"/>
                <w:highlight w:val="none"/>
              </w:rPr>
            </w:pPr>
            <w:bookmarkStart w:id="1336" w:name="_Toc221950447"/>
            <w:r>
              <w:rPr>
                <w:rFonts w:hint="eastAsia" w:ascii="宋体" w:hAnsi="宋体" w:cs="宋体"/>
                <w:b/>
                <w:color w:val="auto"/>
                <w:szCs w:val="21"/>
                <w:highlight w:val="none"/>
              </w:rPr>
              <w:t>评审标准</w:t>
            </w:r>
            <w:bookmarkEnd w:id="13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restart"/>
            <w:vAlign w:val="center"/>
          </w:tcPr>
          <w:p>
            <w:pPr>
              <w:rPr>
                <w:rFonts w:ascii="宋体" w:hAnsi="宋体" w:cs="宋体"/>
                <w:color w:val="auto"/>
                <w:szCs w:val="21"/>
                <w:highlight w:val="none"/>
              </w:rPr>
            </w:pPr>
            <w:bookmarkStart w:id="1337" w:name="_Toc221950448"/>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1</w:t>
            </w:r>
            <w:bookmarkEnd w:id="1337"/>
          </w:p>
        </w:tc>
        <w:tc>
          <w:tcPr>
            <w:tcW w:w="630" w:type="dxa"/>
            <w:vMerge w:val="restart"/>
            <w:vAlign w:val="center"/>
          </w:tcPr>
          <w:p>
            <w:pPr>
              <w:spacing w:line="400" w:lineRule="exact"/>
              <w:ind w:firstLine="14" w:firstLineChars="7"/>
              <w:jc w:val="center"/>
              <w:rPr>
                <w:rFonts w:ascii="宋体" w:hAnsi="宋体" w:cs="宋体"/>
                <w:color w:val="auto"/>
                <w:szCs w:val="21"/>
                <w:highlight w:val="none"/>
              </w:rPr>
            </w:pPr>
            <w:bookmarkStart w:id="1338" w:name="_Toc221950449"/>
            <w:r>
              <w:rPr>
                <w:rFonts w:hint="eastAsia" w:ascii="宋体" w:hAnsi="宋体" w:cs="宋体"/>
                <w:color w:val="auto"/>
                <w:szCs w:val="21"/>
                <w:highlight w:val="none"/>
              </w:rPr>
              <w:t>形式评审标准</w:t>
            </w:r>
          </w:p>
          <w:bookmarkEnd w:id="1338"/>
          <w:p>
            <w:pPr>
              <w:spacing w:line="400" w:lineRule="exact"/>
              <w:ind w:firstLine="14" w:firstLineChars="7"/>
              <w:jc w:val="center"/>
              <w:rPr>
                <w:rFonts w:ascii="宋体" w:hAnsi="宋体" w:cs="宋体"/>
                <w:color w:val="auto"/>
                <w:szCs w:val="21"/>
                <w:highlight w:val="none"/>
              </w:rPr>
            </w:pPr>
          </w:p>
        </w:tc>
        <w:tc>
          <w:tcPr>
            <w:tcW w:w="2119" w:type="dxa"/>
            <w:gridSpan w:val="4"/>
            <w:vAlign w:val="center"/>
          </w:tcPr>
          <w:p>
            <w:pPr>
              <w:rPr>
                <w:rFonts w:ascii="宋体" w:hAnsi="宋体"/>
                <w:color w:val="auto"/>
                <w:szCs w:val="21"/>
                <w:highlight w:val="none"/>
              </w:rPr>
            </w:pPr>
            <w:r>
              <w:rPr>
                <w:rFonts w:hint="eastAsia" w:ascii="宋体" w:hAnsi="宋体"/>
                <w:color w:val="auto"/>
                <w:szCs w:val="21"/>
                <w:highlight w:val="none"/>
              </w:rPr>
              <w:t>投标人参加投标的意思表达清楚，投标人代表被授权有效</w:t>
            </w:r>
          </w:p>
        </w:tc>
        <w:tc>
          <w:tcPr>
            <w:tcW w:w="5404" w:type="dxa"/>
            <w:vAlign w:val="center"/>
          </w:tcPr>
          <w:p>
            <w:pPr>
              <w:rPr>
                <w:rFonts w:ascii="宋体" w:hAnsi="宋体"/>
                <w:color w:val="auto"/>
                <w:szCs w:val="21"/>
                <w:highlight w:val="none"/>
              </w:rPr>
            </w:pPr>
            <w:r>
              <w:rPr>
                <w:rFonts w:hint="eastAsia" w:ascii="宋体" w:hAnsi="宋体"/>
                <w:color w:val="auto"/>
                <w:szCs w:val="21"/>
                <w:highlight w:val="none"/>
              </w:rPr>
              <w:t>农田建设项目信用承诺书</w:t>
            </w:r>
            <w:r>
              <w:rPr>
                <w:rFonts w:hint="eastAsia" w:ascii="宋体" w:hAnsi="宋体"/>
                <w:color w:val="auto"/>
                <w:szCs w:val="21"/>
                <w:highlight w:val="none"/>
                <w:lang w:eastAsia="zh-CN"/>
              </w:rPr>
              <w:t>；</w:t>
            </w:r>
            <w:r>
              <w:rPr>
                <w:rFonts w:hint="eastAsia" w:ascii="宋体" w:hAnsi="宋体"/>
                <w:color w:val="auto"/>
                <w:szCs w:val="21"/>
                <w:highlight w:val="none"/>
              </w:rPr>
              <w:t>法定代表人证明书；委托投标的还应提供法人授权委托证明书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rPr>
                <w:rFonts w:ascii="宋体" w:hAnsi="宋体" w:cs="宋体"/>
                <w:color w:val="auto"/>
                <w:szCs w:val="21"/>
                <w:highlight w:val="none"/>
              </w:rPr>
            </w:pPr>
          </w:p>
        </w:tc>
        <w:tc>
          <w:tcPr>
            <w:tcW w:w="630" w:type="dxa"/>
            <w:vMerge w:val="continue"/>
            <w:vAlign w:val="center"/>
          </w:tcPr>
          <w:p>
            <w:pPr>
              <w:spacing w:line="400" w:lineRule="exact"/>
              <w:ind w:firstLine="14" w:firstLineChars="7"/>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投标人名称</w:t>
            </w:r>
          </w:p>
        </w:tc>
        <w:tc>
          <w:tcPr>
            <w:tcW w:w="5404" w:type="dxa"/>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rPr>
                <w:rFonts w:ascii="宋体" w:hAnsi="宋体" w:cs="宋体"/>
                <w:color w:val="auto"/>
                <w:szCs w:val="21"/>
                <w:highlight w:val="none"/>
              </w:rPr>
            </w:pPr>
          </w:p>
        </w:tc>
        <w:tc>
          <w:tcPr>
            <w:tcW w:w="630" w:type="dxa"/>
            <w:vMerge w:val="continue"/>
            <w:vAlign w:val="center"/>
          </w:tcPr>
          <w:p>
            <w:pPr>
              <w:spacing w:line="400" w:lineRule="exact"/>
              <w:ind w:firstLine="14" w:firstLineChars="7"/>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投标文件签字盖章</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符合第二章“投标人须知”第</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7</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）目规定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rPr>
                <w:rFonts w:ascii="宋体" w:hAnsi="宋体" w:cs="宋体"/>
                <w:color w:val="auto"/>
                <w:szCs w:val="21"/>
                <w:highlight w:val="none"/>
              </w:rPr>
            </w:pPr>
          </w:p>
        </w:tc>
        <w:tc>
          <w:tcPr>
            <w:tcW w:w="630" w:type="dxa"/>
            <w:vMerge w:val="continue"/>
            <w:vAlign w:val="center"/>
          </w:tcPr>
          <w:p>
            <w:pPr>
              <w:spacing w:line="400" w:lineRule="exact"/>
              <w:ind w:firstLine="14" w:firstLineChars="7"/>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投标文件格式</w:t>
            </w:r>
            <w:r>
              <w:rPr>
                <w:rFonts w:ascii="宋体" w:hAnsi="宋体"/>
                <w:color w:val="auto"/>
                <w:szCs w:val="21"/>
                <w:highlight w:val="none"/>
              </w:rPr>
              <w:t>、</w:t>
            </w:r>
            <w:r>
              <w:rPr>
                <w:rFonts w:hint="eastAsia" w:ascii="宋体" w:hAnsi="宋体"/>
                <w:color w:val="auto"/>
                <w:szCs w:val="21"/>
                <w:highlight w:val="none"/>
              </w:rPr>
              <w:t>内容</w:t>
            </w:r>
          </w:p>
        </w:tc>
        <w:tc>
          <w:tcPr>
            <w:tcW w:w="5404" w:type="dxa"/>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符合第八章“投标文件格式”的要求</w:t>
            </w:r>
            <w:r>
              <w:rPr>
                <w:rFonts w:hint="eastAsia" w:ascii="宋体" w:hAnsi="宋体"/>
                <w:color w:val="auto"/>
                <w:szCs w:val="21"/>
                <w:highlight w:val="none"/>
              </w:rPr>
              <w:t>，</w:t>
            </w:r>
            <w:r>
              <w:rPr>
                <w:rFonts w:ascii="宋体" w:hAnsi="宋体"/>
                <w:color w:val="auto"/>
                <w:szCs w:val="21"/>
                <w:highlight w:val="none"/>
              </w:rPr>
              <w:t>实质性内容齐全、关键字迹清晰可辨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rPr>
                <w:rFonts w:ascii="宋体" w:hAnsi="宋体" w:cs="宋体"/>
                <w:color w:val="auto"/>
                <w:szCs w:val="21"/>
                <w:highlight w:val="none"/>
              </w:rPr>
            </w:pPr>
          </w:p>
        </w:tc>
        <w:tc>
          <w:tcPr>
            <w:tcW w:w="630" w:type="dxa"/>
            <w:vMerge w:val="continue"/>
            <w:vAlign w:val="center"/>
          </w:tcPr>
          <w:p>
            <w:pPr>
              <w:spacing w:line="400" w:lineRule="exact"/>
              <w:ind w:firstLine="14" w:firstLineChars="7"/>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联合体投标人（如有）</w:t>
            </w:r>
          </w:p>
        </w:tc>
        <w:tc>
          <w:tcPr>
            <w:tcW w:w="5404" w:type="dxa"/>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提交联合体协议书，并明确联合体牵头人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rPr>
                <w:rFonts w:ascii="宋体" w:hAnsi="宋体" w:cs="宋体"/>
                <w:color w:val="auto"/>
                <w:szCs w:val="21"/>
                <w:highlight w:val="none"/>
              </w:rPr>
            </w:pPr>
          </w:p>
        </w:tc>
        <w:tc>
          <w:tcPr>
            <w:tcW w:w="630" w:type="dxa"/>
            <w:vMerge w:val="continue"/>
            <w:vAlign w:val="center"/>
          </w:tcPr>
          <w:p>
            <w:pPr>
              <w:spacing w:line="400" w:lineRule="exact"/>
              <w:ind w:firstLine="14" w:firstLineChars="7"/>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报价唯一</w:t>
            </w:r>
          </w:p>
        </w:tc>
        <w:tc>
          <w:tcPr>
            <w:tcW w:w="5404" w:type="dxa"/>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只能有一个报价</w:t>
            </w:r>
            <w:r>
              <w:rPr>
                <w:rFonts w:hint="eastAsia" w:ascii="宋体" w:hAnsi="宋体"/>
                <w:color w:val="auto"/>
                <w:szCs w:val="21"/>
                <w:highlight w:val="none"/>
              </w:rPr>
              <w:t>（指投标函中的大写报价）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825" w:type="dxa"/>
            <w:vMerge w:val="continue"/>
            <w:vAlign w:val="center"/>
          </w:tcPr>
          <w:p>
            <w:pPr>
              <w:rPr>
                <w:rFonts w:ascii="宋体" w:hAnsi="宋体" w:cs="宋体"/>
                <w:color w:val="auto"/>
                <w:szCs w:val="21"/>
                <w:highlight w:val="none"/>
              </w:rPr>
            </w:pPr>
          </w:p>
        </w:tc>
        <w:tc>
          <w:tcPr>
            <w:tcW w:w="630" w:type="dxa"/>
            <w:vMerge w:val="continue"/>
            <w:vAlign w:val="center"/>
          </w:tcPr>
          <w:p>
            <w:pPr>
              <w:snapToGrid w:val="0"/>
              <w:rPr>
                <w:rFonts w:ascii="宋体" w:hAnsi="宋体" w:cs="宋体"/>
                <w:color w:val="auto"/>
                <w:szCs w:val="21"/>
                <w:highlight w:val="none"/>
              </w:rPr>
            </w:pPr>
          </w:p>
        </w:tc>
        <w:tc>
          <w:tcPr>
            <w:tcW w:w="2119" w:type="dxa"/>
            <w:gridSpan w:val="4"/>
            <w:vAlign w:val="center"/>
          </w:tcPr>
          <w:p>
            <w:pPr>
              <w:rPr>
                <w:rFonts w:ascii="宋体" w:hAnsi="宋体" w:cs="宋体"/>
                <w:color w:val="auto"/>
                <w:szCs w:val="21"/>
                <w:highlight w:val="none"/>
              </w:rPr>
            </w:pPr>
            <w:r>
              <w:rPr>
                <w:rFonts w:hint="eastAsia" w:ascii="宋体" w:hAnsi="宋体"/>
                <w:color w:val="auto"/>
                <w:szCs w:val="21"/>
                <w:highlight w:val="none"/>
              </w:rPr>
              <w:t>多标段投标</w:t>
            </w:r>
          </w:p>
        </w:tc>
        <w:tc>
          <w:tcPr>
            <w:tcW w:w="5404" w:type="dxa"/>
            <w:vAlign w:val="center"/>
          </w:tcPr>
          <w:p>
            <w:pPr>
              <w:rPr>
                <w:rFonts w:ascii="宋体" w:hAnsi="宋体" w:cs="宋体"/>
                <w:color w:val="auto"/>
                <w:szCs w:val="21"/>
                <w:highlight w:val="none"/>
              </w:rPr>
            </w:pPr>
            <w:r>
              <w:rPr>
                <w:rFonts w:hint="eastAsia"/>
                <w:color w:val="auto"/>
                <w:szCs w:val="21"/>
                <w:highlight w:val="none"/>
              </w:rPr>
              <w:t>符合第二章</w:t>
            </w:r>
            <w:r>
              <w:rPr>
                <w:color w:val="auto"/>
                <w:szCs w:val="21"/>
                <w:highlight w:val="none"/>
              </w:rPr>
              <w:t>“</w:t>
            </w:r>
            <w:r>
              <w:rPr>
                <w:rFonts w:hint="eastAsia"/>
                <w:color w:val="auto"/>
                <w:szCs w:val="21"/>
                <w:highlight w:val="none"/>
              </w:rPr>
              <w:t>投标人须知前附表</w:t>
            </w:r>
            <w:r>
              <w:rPr>
                <w:color w:val="auto"/>
                <w:szCs w:val="21"/>
                <w:highlight w:val="none"/>
              </w:rPr>
              <w:t>”</w:t>
            </w:r>
            <w:r>
              <w:rPr>
                <w:rFonts w:hint="eastAsia"/>
                <w:color w:val="auto"/>
                <w:szCs w:val="21"/>
                <w:highlight w:val="none"/>
              </w:rPr>
              <w:t>第10.1款规定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25" w:type="dxa"/>
            <w:vMerge w:val="restart"/>
            <w:vAlign w:val="center"/>
          </w:tcPr>
          <w:p>
            <w:pP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2</w:t>
            </w:r>
          </w:p>
        </w:tc>
        <w:tc>
          <w:tcPr>
            <w:tcW w:w="630" w:type="dxa"/>
            <w:vMerge w:val="restart"/>
            <w:vAlign w:val="center"/>
          </w:tcPr>
          <w:p>
            <w:pPr>
              <w:spacing w:line="400" w:lineRule="exact"/>
              <w:jc w:val="center"/>
              <w:rPr>
                <w:rFonts w:ascii="宋体" w:hAnsi="宋体" w:cs="宋体"/>
                <w:color w:val="auto"/>
                <w:szCs w:val="21"/>
                <w:highlight w:val="none"/>
              </w:rPr>
            </w:pPr>
            <w:r>
              <w:rPr>
                <w:rFonts w:hint="eastAsia" w:ascii="宋体" w:hAnsi="宋体" w:cs="宋体"/>
                <w:color w:val="auto"/>
                <w:szCs w:val="21"/>
                <w:highlight w:val="none"/>
              </w:rPr>
              <w:t>资格评审标准</w:t>
            </w:r>
          </w:p>
          <w:p>
            <w:pPr>
              <w:spacing w:line="400" w:lineRule="exact"/>
              <w:ind w:firstLine="63" w:firstLineChars="30"/>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营业执照</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25" w:type="dxa"/>
            <w:vMerge w:val="continue"/>
            <w:vAlign w:val="center"/>
          </w:tcPr>
          <w:p>
            <w:pPr>
              <w:rPr>
                <w:rFonts w:ascii="宋体" w:hAnsi="宋体" w:cs="宋体"/>
                <w:color w:val="auto"/>
                <w:sz w:val="18"/>
                <w:szCs w:val="21"/>
                <w:highlight w:val="none"/>
              </w:rPr>
            </w:pPr>
          </w:p>
        </w:tc>
        <w:tc>
          <w:tcPr>
            <w:tcW w:w="630" w:type="dxa"/>
            <w:vMerge w:val="continue"/>
            <w:vAlign w:val="center"/>
          </w:tcPr>
          <w:p>
            <w:pPr>
              <w:spacing w:line="400" w:lineRule="exact"/>
              <w:rPr>
                <w:rFonts w:ascii="宋体" w:hAnsi="宋体" w:cs="宋体"/>
                <w:color w:val="auto"/>
                <w:sz w:val="18"/>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安全生产许可证</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具备有效的安全生产许可证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25" w:type="dxa"/>
            <w:vMerge w:val="continue"/>
            <w:vAlign w:val="center"/>
          </w:tcPr>
          <w:p>
            <w:pPr>
              <w:rPr>
                <w:rFonts w:ascii="宋体" w:hAnsi="宋体" w:cs="宋体"/>
                <w:color w:val="auto"/>
                <w:sz w:val="18"/>
                <w:szCs w:val="21"/>
                <w:highlight w:val="none"/>
              </w:rPr>
            </w:pPr>
          </w:p>
        </w:tc>
        <w:tc>
          <w:tcPr>
            <w:tcW w:w="630" w:type="dxa"/>
            <w:vMerge w:val="continue"/>
            <w:vAlign w:val="center"/>
          </w:tcPr>
          <w:p>
            <w:pPr>
              <w:spacing w:line="400" w:lineRule="exact"/>
              <w:rPr>
                <w:rFonts w:ascii="宋体" w:hAnsi="宋体" w:cs="宋体"/>
                <w:color w:val="auto"/>
                <w:sz w:val="18"/>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资质等级</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25" w:type="dxa"/>
            <w:vMerge w:val="continue"/>
            <w:vAlign w:val="center"/>
          </w:tcPr>
          <w:p>
            <w:pPr>
              <w:rPr>
                <w:rFonts w:ascii="宋体" w:hAnsi="宋体" w:cs="宋体"/>
                <w:color w:val="auto"/>
                <w:sz w:val="18"/>
                <w:szCs w:val="21"/>
                <w:highlight w:val="none"/>
              </w:rPr>
            </w:pPr>
          </w:p>
        </w:tc>
        <w:tc>
          <w:tcPr>
            <w:tcW w:w="630" w:type="dxa"/>
            <w:vMerge w:val="continue"/>
            <w:vAlign w:val="center"/>
          </w:tcPr>
          <w:p>
            <w:pPr>
              <w:spacing w:line="400" w:lineRule="exact"/>
              <w:rPr>
                <w:rFonts w:ascii="宋体" w:hAnsi="宋体" w:cs="宋体"/>
                <w:color w:val="auto"/>
                <w:sz w:val="18"/>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项目负责人</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25" w:type="dxa"/>
            <w:vMerge w:val="continue"/>
            <w:vAlign w:val="center"/>
          </w:tcPr>
          <w:p>
            <w:pPr>
              <w:rPr>
                <w:rFonts w:ascii="宋体" w:hAnsi="宋体" w:cs="宋体"/>
                <w:color w:val="auto"/>
                <w:sz w:val="18"/>
                <w:szCs w:val="21"/>
                <w:highlight w:val="none"/>
              </w:rPr>
            </w:pPr>
          </w:p>
        </w:tc>
        <w:tc>
          <w:tcPr>
            <w:tcW w:w="630" w:type="dxa"/>
            <w:vMerge w:val="continue"/>
            <w:vAlign w:val="center"/>
          </w:tcPr>
          <w:p>
            <w:pPr>
              <w:spacing w:line="400" w:lineRule="exact"/>
              <w:rPr>
                <w:rFonts w:ascii="宋体" w:hAnsi="宋体" w:cs="宋体"/>
                <w:color w:val="auto"/>
                <w:sz w:val="18"/>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lang w:val="en-US" w:eastAsia="zh-CN"/>
              </w:rPr>
              <w:t>专职安全员</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25" w:type="dxa"/>
            <w:vMerge w:val="continue"/>
            <w:vAlign w:val="center"/>
          </w:tcPr>
          <w:p>
            <w:pPr>
              <w:rPr>
                <w:rFonts w:ascii="宋体" w:hAnsi="宋体" w:cs="宋体"/>
                <w:color w:val="auto"/>
                <w:sz w:val="18"/>
                <w:szCs w:val="21"/>
                <w:highlight w:val="none"/>
              </w:rPr>
            </w:pPr>
          </w:p>
        </w:tc>
        <w:tc>
          <w:tcPr>
            <w:tcW w:w="630" w:type="dxa"/>
            <w:vMerge w:val="continue"/>
            <w:vAlign w:val="center"/>
          </w:tcPr>
          <w:p>
            <w:pPr>
              <w:spacing w:line="400" w:lineRule="exact"/>
              <w:rPr>
                <w:rFonts w:ascii="宋体" w:hAnsi="宋体" w:cs="宋体"/>
                <w:color w:val="auto"/>
                <w:sz w:val="18"/>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信誉</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25" w:type="dxa"/>
            <w:vMerge w:val="continue"/>
            <w:vAlign w:val="center"/>
          </w:tcPr>
          <w:p>
            <w:pPr>
              <w:rPr>
                <w:rFonts w:ascii="宋体" w:hAnsi="宋体" w:cs="宋体"/>
                <w:color w:val="auto"/>
                <w:sz w:val="18"/>
                <w:szCs w:val="21"/>
                <w:highlight w:val="none"/>
              </w:rPr>
            </w:pPr>
          </w:p>
        </w:tc>
        <w:tc>
          <w:tcPr>
            <w:tcW w:w="630" w:type="dxa"/>
            <w:vMerge w:val="continue"/>
            <w:vAlign w:val="center"/>
          </w:tcPr>
          <w:p>
            <w:pPr>
              <w:spacing w:line="400" w:lineRule="exact"/>
              <w:rPr>
                <w:rFonts w:ascii="宋体" w:hAnsi="宋体" w:cs="宋体"/>
                <w:color w:val="auto"/>
                <w:sz w:val="18"/>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其他</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25" w:type="dxa"/>
            <w:vMerge w:val="continue"/>
            <w:vAlign w:val="center"/>
          </w:tcPr>
          <w:p>
            <w:pPr>
              <w:rPr>
                <w:rFonts w:ascii="宋体" w:hAnsi="宋体" w:cs="宋体"/>
                <w:color w:val="auto"/>
                <w:sz w:val="18"/>
                <w:szCs w:val="21"/>
                <w:highlight w:val="none"/>
              </w:rPr>
            </w:pPr>
          </w:p>
        </w:tc>
        <w:tc>
          <w:tcPr>
            <w:tcW w:w="630" w:type="dxa"/>
            <w:vMerge w:val="continue"/>
            <w:vAlign w:val="center"/>
          </w:tcPr>
          <w:p>
            <w:pPr>
              <w:spacing w:line="400" w:lineRule="exact"/>
              <w:rPr>
                <w:rFonts w:ascii="宋体" w:hAnsi="宋体" w:cs="宋体"/>
                <w:color w:val="auto"/>
                <w:sz w:val="18"/>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联合体投标人（如有）</w:t>
            </w:r>
          </w:p>
        </w:tc>
        <w:tc>
          <w:tcPr>
            <w:tcW w:w="5404" w:type="dxa"/>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25" w:type="dxa"/>
            <w:vMerge w:val="continue"/>
            <w:vAlign w:val="center"/>
          </w:tcPr>
          <w:p>
            <w:pPr>
              <w:rPr>
                <w:rFonts w:ascii="宋体" w:hAnsi="宋体" w:cs="宋体"/>
                <w:color w:val="auto"/>
                <w:sz w:val="18"/>
                <w:szCs w:val="21"/>
                <w:highlight w:val="none"/>
              </w:rPr>
            </w:pPr>
          </w:p>
        </w:tc>
        <w:tc>
          <w:tcPr>
            <w:tcW w:w="630" w:type="dxa"/>
            <w:vMerge w:val="continue"/>
            <w:vAlign w:val="center"/>
          </w:tcPr>
          <w:p>
            <w:pPr>
              <w:spacing w:line="400" w:lineRule="exact"/>
              <w:rPr>
                <w:rFonts w:ascii="宋体" w:hAnsi="宋体" w:cs="宋体"/>
                <w:color w:val="auto"/>
                <w:sz w:val="18"/>
                <w:szCs w:val="21"/>
                <w:highlight w:val="none"/>
              </w:rPr>
            </w:pPr>
          </w:p>
        </w:tc>
        <w:tc>
          <w:tcPr>
            <w:tcW w:w="2119" w:type="dxa"/>
            <w:gridSpan w:val="4"/>
            <w:vAlign w:val="center"/>
          </w:tcPr>
          <w:p>
            <w:pPr>
              <w:rPr>
                <w:rFonts w:ascii="宋体" w:hAnsi="宋体"/>
                <w:color w:val="auto"/>
                <w:szCs w:val="21"/>
                <w:highlight w:val="none"/>
              </w:rPr>
            </w:pPr>
            <w:r>
              <w:rPr>
                <w:rFonts w:hint="eastAsia"/>
                <w:color w:val="auto"/>
                <w:highlight w:val="none"/>
              </w:rPr>
              <w:t>不存在禁止投标的情形</w:t>
            </w:r>
          </w:p>
        </w:tc>
        <w:tc>
          <w:tcPr>
            <w:tcW w:w="5404" w:type="dxa"/>
            <w:vAlign w:val="center"/>
          </w:tcPr>
          <w:p>
            <w:pPr>
              <w:rPr>
                <w:rFonts w:ascii="宋体" w:hAnsi="宋体"/>
                <w:color w:val="auto"/>
                <w:szCs w:val="21"/>
                <w:highlight w:val="none"/>
              </w:rPr>
            </w:pPr>
            <w:r>
              <w:rPr>
                <w:rFonts w:hint="eastAsia" w:ascii="宋体" w:hAnsi="宋体"/>
                <w:color w:val="auto"/>
                <w:szCs w:val="21"/>
                <w:highlight w:val="none"/>
              </w:rPr>
              <w:t>不存在</w:t>
            </w:r>
            <w:r>
              <w:rPr>
                <w:rFonts w:hint="eastAsia" w:ascii="宋体" w:hAnsi="宋体"/>
                <w:color w:val="auto"/>
                <w:szCs w:val="21"/>
                <w:highlight w:val="none"/>
                <w:lang w:eastAsia="zh-CN"/>
              </w:rPr>
              <w:t>第二章</w:t>
            </w:r>
            <w:r>
              <w:rPr>
                <w:rFonts w:hint="eastAsia" w:ascii="宋体" w:hAnsi="宋体"/>
                <w:color w:val="auto"/>
                <w:szCs w:val="21"/>
                <w:highlight w:val="none"/>
              </w:rPr>
              <w:t>“投标人须知”第</w:t>
            </w:r>
            <w:r>
              <w:rPr>
                <w:rFonts w:hint="eastAsia"/>
                <w:color w:val="auto"/>
                <w:szCs w:val="21"/>
                <w:highlight w:val="none"/>
              </w:rPr>
              <w:t>1</w:t>
            </w:r>
            <w:r>
              <w:rPr>
                <w:rFonts w:hint="eastAsia" w:ascii="宋体" w:hAnsi="宋体"/>
                <w:color w:val="auto"/>
                <w:szCs w:val="21"/>
                <w:highlight w:val="none"/>
              </w:rPr>
              <w:t>.</w:t>
            </w:r>
            <w:r>
              <w:rPr>
                <w:rFonts w:hint="eastAsia"/>
                <w:color w:val="auto"/>
                <w:szCs w:val="21"/>
                <w:highlight w:val="none"/>
              </w:rPr>
              <w:t>4</w:t>
            </w:r>
            <w:r>
              <w:rPr>
                <w:rFonts w:hint="eastAsia" w:ascii="宋体" w:hAnsi="宋体"/>
                <w:color w:val="auto"/>
                <w:szCs w:val="21"/>
                <w:highlight w:val="none"/>
              </w:rPr>
              <w:t>.</w:t>
            </w:r>
            <w:r>
              <w:rPr>
                <w:rFonts w:hint="eastAsia"/>
                <w:color w:val="auto"/>
                <w:szCs w:val="21"/>
                <w:highlight w:val="none"/>
              </w:rPr>
              <w:t>3</w:t>
            </w:r>
            <w:r>
              <w:rPr>
                <w:rFonts w:hint="eastAsia" w:ascii="宋体" w:hAnsi="宋体"/>
                <w:color w:val="auto"/>
                <w:szCs w:val="21"/>
                <w:highlight w:val="none"/>
              </w:rPr>
              <w:t>项规定的</w:t>
            </w:r>
            <w:r>
              <w:rPr>
                <w:rFonts w:hint="eastAsia"/>
                <w:color w:val="auto"/>
                <w:highlight w:val="none"/>
              </w:rPr>
              <w:t>任何一种</w:t>
            </w:r>
            <w:r>
              <w:rPr>
                <w:rFonts w:hint="eastAsia" w:ascii="宋体" w:hAnsi="宋体"/>
                <w:color w:val="auto"/>
                <w:szCs w:val="21"/>
                <w:highlight w:val="none"/>
              </w:rPr>
              <w:t>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restart"/>
            <w:vAlign w:val="center"/>
          </w:tcPr>
          <w:p>
            <w:pPr>
              <w:jc w:val="center"/>
              <w:rPr>
                <w:rFonts w:ascii="宋体" w:hAnsi="宋体" w:cs="宋体"/>
                <w:color w:val="auto"/>
                <w:szCs w:val="21"/>
                <w:highlight w:val="none"/>
              </w:rPr>
            </w:pPr>
            <w:bookmarkStart w:id="1339" w:name="_Toc221950452"/>
          </w:p>
          <w:p>
            <w:pPr>
              <w:jc w:val="cente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1</w:t>
            </w:r>
            <w:bookmarkEnd w:id="1339"/>
            <w:r>
              <w:rPr>
                <w:rFonts w:hint="eastAsia" w:ascii="宋体" w:hAnsi="宋体" w:cs="宋体"/>
                <w:color w:val="auto"/>
                <w:szCs w:val="21"/>
                <w:highlight w:val="none"/>
              </w:rPr>
              <w:t>.</w:t>
            </w:r>
            <w:r>
              <w:rPr>
                <w:rFonts w:hint="eastAsia" w:cs="宋体"/>
                <w:color w:val="auto"/>
                <w:szCs w:val="21"/>
                <w:highlight w:val="none"/>
              </w:rPr>
              <w:t>3</w:t>
            </w:r>
          </w:p>
        </w:tc>
        <w:tc>
          <w:tcPr>
            <w:tcW w:w="630" w:type="dxa"/>
            <w:vMerge w:val="restart"/>
            <w:vAlign w:val="center"/>
          </w:tcPr>
          <w:p>
            <w:pPr>
              <w:spacing w:line="400" w:lineRule="exact"/>
              <w:jc w:val="center"/>
              <w:rPr>
                <w:rFonts w:ascii="宋体" w:hAnsi="宋体" w:cs="宋体"/>
                <w:color w:val="auto"/>
                <w:szCs w:val="21"/>
                <w:highlight w:val="none"/>
              </w:rPr>
            </w:pPr>
            <w:bookmarkStart w:id="1340" w:name="_Toc221950453"/>
          </w:p>
          <w:p>
            <w:pPr>
              <w:spacing w:line="400" w:lineRule="exact"/>
              <w:jc w:val="center"/>
              <w:rPr>
                <w:rFonts w:ascii="宋体" w:hAnsi="宋体" w:cs="宋体"/>
                <w:color w:val="auto"/>
                <w:szCs w:val="21"/>
                <w:highlight w:val="none"/>
              </w:rPr>
            </w:pPr>
          </w:p>
          <w:p>
            <w:pPr>
              <w:spacing w:line="400" w:lineRule="exact"/>
              <w:jc w:val="center"/>
              <w:rPr>
                <w:rFonts w:ascii="宋体" w:hAnsi="宋体" w:cs="宋体"/>
                <w:color w:val="auto"/>
                <w:szCs w:val="21"/>
                <w:highlight w:val="none"/>
              </w:rPr>
            </w:pPr>
          </w:p>
          <w:p>
            <w:pPr>
              <w:rPr>
                <w:color w:val="auto"/>
                <w:highlight w:val="none"/>
              </w:rPr>
            </w:pPr>
          </w:p>
          <w:p>
            <w:pPr>
              <w:spacing w:line="400" w:lineRule="exact"/>
              <w:jc w:val="center"/>
              <w:rPr>
                <w:rFonts w:ascii="宋体" w:hAnsi="宋体" w:cs="宋体"/>
                <w:color w:val="auto"/>
                <w:szCs w:val="21"/>
                <w:highlight w:val="none"/>
              </w:rPr>
            </w:pPr>
            <w:r>
              <w:rPr>
                <w:rFonts w:hint="eastAsia" w:ascii="宋体" w:hAnsi="宋体" w:cs="宋体"/>
                <w:color w:val="auto"/>
                <w:szCs w:val="21"/>
                <w:highlight w:val="none"/>
              </w:rPr>
              <w:t>响应性评审标准</w:t>
            </w:r>
          </w:p>
          <w:bookmarkEnd w:id="1340"/>
          <w:p>
            <w:pPr>
              <w:spacing w:line="400" w:lineRule="exact"/>
              <w:ind w:firstLine="63" w:firstLineChars="30"/>
              <w:jc w:val="center"/>
              <w:rPr>
                <w:rFonts w:ascii="宋体" w:hAnsi="宋体" w:cs="宋体"/>
                <w:color w:val="auto"/>
                <w:szCs w:val="21"/>
                <w:highlight w:val="none"/>
              </w:rPr>
            </w:pPr>
          </w:p>
        </w:tc>
        <w:tc>
          <w:tcPr>
            <w:tcW w:w="2119" w:type="dxa"/>
            <w:gridSpan w:val="4"/>
            <w:vAlign w:val="center"/>
          </w:tcPr>
          <w:p>
            <w:pPr>
              <w:rPr>
                <w:rFonts w:ascii="宋体" w:hAnsi="宋体" w:cs="宋体"/>
                <w:color w:val="auto"/>
                <w:szCs w:val="21"/>
                <w:highlight w:val="none"/>
              </w:rPr>
            </w:pPr>
            <w:r>
              <w:rPr>
                <w:rFonts w:hint="eastAsia" w:ascii="宋体" w:hAnsi="宋体" w:cs="宋体"/>
                <w:color w:val="auto"/>
                <w:szCs w:val="21"/>
                <w:highlight w:val="none"/>
              </w:rPr>
              <w:t>投标范围</w:t>
            </w:r>
          </w:p>
        </w:tc>
        <w:tc>
          <w:tcPr>
            <w:tcW w:w="5404" w:type="dxa"/>
            <w:vAlign w:val="center"/>
          </w:tcPr>
          <w:p>
            <w:pPr>
              <w:spacing w:line="400" w:lineRule="exact"/>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spacing w:line="400" w:lineRule="exact"/>
              <w:jc w:val="center"/>
              <w:rPr>
                <w:rFonts w:ascii="宋体" w:hAnsi="宋体" w:cs="宋体"/>
                <w:color w:val="auto"/>
                <w:szCs w:val="21"/>
                <w:highlight w:val="none"/>
              </w:rPr>
            </w:pPr>
          </w:p>
        </w:tc>
        <w:tc>
          <w:tcPr>
            <w:tcW w:w="2119" w:type="dxa"/>
            <w:gridSpan w:val="4"/>
            <w:vAlign w:val="center"/>
          </w:tcPr>
          <w:p>
            <w:pPr>
              <w:rPr>
                <w:rFonts w:ascii="宋体" w:hAnsi="宋体" w:cs="宋体"/>
                <w:color w:val="auto"/>
                <w:szCs w:val="21"/>
                <w:highlight w:val="none"/>
              </w:rPr>
            </w:pPr>
            <w:r>
              <w:rPr>
                <w:rFonts w:hint="eastAsia" w:ascii="宋体" w:hAnsi="宋体" w:cs="宋体"/>
                <w:color w:val="auto"/>
                <w:szCs w:val="21"/>
                <w:highlight w:val="none"/>
                <w:lang w:val="en-US" w:eastAsia="zh-CN"/>
              </w:rPr>
              <w:t>计划</w:t>
            </w:r>
            <w:r>
              <w:rPr>
                <w:rFonts w:hint="eastAsia" w:ascii="宋体" w:hAnsi="宋体" w:cs="宋体"/>
                <w:color w:val="auto"/>
                <w:szCs w:val="21"/>
                <w:highlight w:val="none"/>
              </w:rPr>
              <w:t>工期</w:t>
            </w:r>
          </w:p>
        </w:tc>
        <w:tc>
          <w:tcPr>
            <w:tcW w:w="5404" w:type="dxa"/>
            <w:vAlign w:val="center"/>
          </w:tcPr>
          <w:p>
            <w:pPr>
              <w:spacing w:line="400" w:lineRule="exact"/>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spacing w:line="400" w:lineRule="exact"/>
              <w:jc w:val="center"/>
              <w:rPr>
                <w:rFonts w:ascii="宋体" w:hAnsi="宋体" w:cs="宋体"/>
                <w:color w:val="auto"/>
                <w:szCs w:val="21"/>
                <w:highlight w:val="none"/>
              </w:rPr>
            </w:pPr>
          </w:p>
        </w:tc>
        <w:tc>
          <w:tcPr>
            <w:tcW w:w="2119" w:type="dxa"/>
            <w:gridSpan w:val="4"/>
            <w:vAlign w:val="center"/>
          </w:tcPr>
          <w:p>
            <w:pP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质量</w:t>
            </w:r>
            <w:r>
              <w:rPr>
                <w:rFonts w:hint="eastAsia" w:ascii="宋体" w:hAnsi="宋体" w:cs="宋体"/>
                <w:color w:val="auto"/>
                <w:szCs w:val="21"/>
                <w:highlight w:val="none"/>
                <w:lang w:val="en-US" w:eastAsia="zh-CN"/>
              </w:rPr>
              <w:t>要求</w:t>
            </w:r>
          </w:p>
        </w:tc>
        <w:tc>
          <w:tcPr>
            <w:tcW w:w="5404" w:type="dxa"/>
            <w:vAlign w:val="center"/>
          </w:tcPr>
          <w:p>
            <w:pPr>
              <w:spacing w:line="400" w:lineRule="exact"/>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1</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spacing w:line="400" w:lineRule="exact"/>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投标有效期</w:t>
            </w:r>
          </w:p>
        </w:tc>
        <w:tc>
          <w:tcPr>
            <w:tcW w:w="5404" w:type="dxa"/>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spacing w:line="400" w:lineRule="exact"/>
              <w:jc w:val="center"/>
              <w:rPr>
                <w:rFonts w:ascii="宋体" w:hAnsi="宋体" w:cs="宋体"/>
                <w:color w:val="auto"/>
                <w:szCs w:val="21"/>
                <w:highlight w:val="none"/>
              </w:rPr>
            </w:pPr>
          </w:p>
        </w:tc>
        <w:tc>
          <w:tcPr>
            <w:tcW w:w="2119" w:type="dxa"/>
            <w:gridSpan w:val="4"/>
            <w:vAlign w:val="center"/>
          </w:tcPr>
          <w:p>
            <w:pPr>
              <w:adjustRightInd w:val="0"/>
              <w:spacing w:beforeLines="3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投标保证金</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如有</w:t>
            </w:r>
            <w:r>
              <w:rPr>
                <w:rFonts w:hint="eastAsia" w:ascii="宋体" w:hAnsi="宋体" w:cs="宋体"/>
                <w:color w:val="auto"/>
                <w:szCs w:val="21"/>
                <w:highlight w:val="none"/>
                <w:lang w:eastAsia="zh-CN"/>
              </w:rPr>
              <w:t>）</w:t>
            </w:r>
          </w:p>
        </w:tc>
        <w:tc>
          <w:tcPr>
            <w:tcW w:w="5404" w:type="dxa"/>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第二章</w:t>
            </w:r>
            <w:r>
              <w:rPr>
                <w:rFonts w:hint="eastAsia" w:ascii="宋体" w:hAnsi="宋体" w:cs="宋体"/>
                <w:color w:val="auto"/>
                <w:szCs w:val="21"/>
                <w:highlight w:val="none"/>
              </w:rPr>
              <w:t>“投标人须知前附表”第</w:t>
            </w:r>
            <w:r>
              <w:rPr>
                <w:rFonts w:hint="eastAsia" w:cs="宋体"/>
                <w:color w:val="auto"/>
                <w:szCs w:val="21"/>
                <w:highlight w:val="none"/>
              </w:rPr>
              <w:t>3</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1</w:t>
            </w:r>
            <w:r>
              <w:rPr>
                <w:rFonts w:hint="eastAsia" w:ascii="宋体" w:hAnsi="宋体" w:cs="宋体"/>
                <w:color w:val="auto"/>
                <w:szCs w:val="21"/>
                <w:highlight w:val="none"/>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spacing w:line="400" w:lineRule="exact"/>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s="宋体"/>
                <w:color w:val="auto"/>
                <w:szCs w:val="21"/>
                <w:highlight w:val="none"/>
              </w:rPr>
            </w:pPr>
            <w:r>
              <w:rPr>
                <w:rFonts w:hint="eastAsia" w:ascii="宋体" w:hAnsi="宋体" w:cs="宋体"/>
                <w:color w:val="auto"/>
                <w:szCs w:val="21"/>
                <w:highlight w:val="none"/>
              </w:rPr>
              <w:t>权利义务</w:t>
            </w:r>
          </w:p>
        </w:tc>
        <w:tc>
          <w:tcPr>
            <w:tcW w:w="5404" w:type="dxa"/>
            <w:vAlign w:val="center"/>
          </w:tcPr>
          <w:p>
            <w:pPr>
              <w:pStyle w:val="9"/>
              <w:rPr>
                <w:color w:val="auto"/>
                <w:highlight w:val="none"/>
              </w:rPr>
            </w:pPr>
            <w:r>
              <w:rPr>
                <w:rFonts w:hint="eastAsia" w:ascii="宋体" w:hAnsi="宋体"/>
                <w:color w:val="auto"/>
                <w:szCs w:val="21"/>
                <w:highlight w:val="none"/>
              </w:rPr>
              <w:t>投标函附录中的相关承诺符合或优于</w:t>
            </w:r>
            <w:r>
              <w:rPr>
                <w:rFonts w:hint="eastAsia" w:ascii="宋体" w:hAnsi="宋体"/>
                <w:color w:val="auto"/>
                <w:szCs w:val="21"/>
                <w:highlight w:val="none"/>
                <w:lang w:eastAsia="zh-CN"/>
              </w:rPr>
              <w:t>第四章</w:t>
            </w:r>
            <w:r>
              <w:rPr>
                <w:rFonts w:hint="eastAsia" w:ascii="宋体" w:hAnsi="宋体"/>
                <w:color w:val="auto"/>
                <w:szCs w:val="21"/>
                <w:highlight w:val="none"/>
              </w:rPr>
              <w:t>“合同条款及格式”的相关规定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spacing w:line="400" w:lineRule="exact"/>
              <w:jc w:val="center"/>
              <w:rPr>
                <w:rFonts w:ascii="宋体" w:hAnsi="宋体" w:cs="宋体"/>
                <w:color w:val="auto"/>
                <w:szCs w:val="21"/>
                <w:highlight w:val="none"/>
              </w:rPr>
            </w:pPr>
          </w:p>
        </w:tc>
        <w:tc>
          <w:tcPr>
            <w:tcW w:w="2119" w:type="dxa"/>
            <w:gridSpan w:val="4"/>
            <w:vAlign w:val="center"/>
          </w:tcPr>
          <w:p>
            <w:pPr>
              <w:adjustRightInd w:val="0"/>
              <w:spacing w:beforeLines="30"/>
              <w:rPr>
                <w:rFonts w:ascii="宋体" w:hAnsi="宋体"/>
                <w:color w:val="auto"/>
                <w:szCs w:val="21"/>
                <w:highlight w:val="none"/>
              </w:rPr>
            </w:pPr>
            <w:r>
              <w:rPr>
                <w:rFonts w:hint="eastAsia" w:ascii="宋体" w:hAnsi="宋体"/>
                <w:color w:val="auto"/>
                <w:szCs w:val="21"/>
                <w:highlight w:val="none"/>
              </w:rPr>
              <w:t>算术错误修正（如有）</w:t>
            </w:r>
          </w:p>
        </w:tc>
        <w:tc>
          <w:tcPr>
            <w:tcW w:w="5404" w:type="dxa"/>
            <w:vAlign w:val="center"/>
          </w:tcPr>
          <w:p>
            <w:pPr>
              <w:adjustRightInd w:val="0"/>
              <w:spacing w:beforeLines="30"/>
              <w:rPr>
                <w:rFonts w:ascii="宋体" w:hAnsi="宋体"/>
                <w:color w:val="auto"/>
                <w:szCs w:val="21"/>
                <w:highlight w:val="none"/>
              </w:rPr>
            </w:pPr>
            <w:r>
              <w:rPr>
                <w:rFonts w:hint="eastAsia" w:ascii="宋体" w:hAnsi="宋体"/>
                <w:color w:val="auto"/>
                <w:szCs w:val="21"/>
                <w:highlight w:val="none"/>
              </w:rPr>
              <w:t>投标人接受算术错误修正后的报价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spacing w:line="400" w:lineRule="exact"/>
              <w:jc w:val="center"/>
              <w:rPr>
                <w:rFonts w:ascii="宋体" w:hAnsi="宋体" w:cs="宋体"/>
                <w:color w:val="auto"/>
                <w:szCs w:val="21"/>
                <w:highlight w:val="none"/>
              </w:rPr>
            </w:pPr>
          </w:p>
        </w:tc>
        <w:tc>
          <w:tcPr>
            <w:tcW w:w="2119" w:type="dxa"/>
            <w:gridSpan w:val="4"/>
            <w:vAlign w:val="center"/>
          </w:tcPr>
          <w:p>
            <w:pPr>
              <w:rPr>
                <w:rFonts w:hint="eastAsia" w:ascii="宋体" w:hAnsi="宋体" w:eastAsia="宋体"/>
                <w:color w:val="auto"/>
                <w:szCs w:val="21"/>
                <w:highlight w:val="none"/>
                <w:lang w:eastAsia="zh-CN"/>
              </w:rPr>
            </w:pPr>
            <w:r>
              <w:rPr>
                <w:rFonts w:hint="eastAsia" w:ascii="宋体" w:hAnsi="宋体"/>
                <w:color w:val="auto"/>
                <w:szCs w:val="21"/>
                <w:highlight w:val="none"/>
              </w:rPr>
              <w:t>投标</w:t>
            </w:r>
            <w:r>
              <w:rPr>
                <w:rFonts w:hint="eastAsia" w:ascii="宋体" w:hAnsi="宋体"/>
                <w:color w:val="auto"/>
                <w:szCs w:val="21"/>
                <w:highlight w:val="none"/>
                <w:lang w:val="en-US" w:eastAsia="zh-CN"/>
              </w:rPr>
              <w:t>报价</w:t>
            </w:r>
          </w:p>
        </w:tc>
        <w:tc>
          <w:tcPr>
            <w:tcW w:w="5404" w:type="dxa"/>
            <w:vAlign w:val="center"/>
          </w:tcPr>
          <w:p>
            <w:pPr>
              <w:rPr>
                <w:rFonts w:ascii="宋体" w:hAnsi="宋体"/>
                <w:color w:val="auto"/>
                <w:szCs w:val="21"/>
                <w:highlight w:val="none"/>
              </w:rPr>
            </w:pPr>
            <w:r>
              <w:rPr>
                <w:rFonts w:hint="eastAsia"/>
                <w:color w:val="auto"/>
                <w:szCs w:val="21"/>
                <w:highlight w:val="none"/>
              </w:rPr>
              <w:t>1</w:t>
            </w:r>
            <w:r>
              <w:rPr>
                <w:rFonts w:hint="eastAsia" w:ascii="宋体" w:hAnsi="宋体" w:cs="宋体"/>
                <w:color w:val="auto"/>
                <w:highlight w:val="none"/>
              </w:rPr>
              <w:t>．</w:t>
            </w:r>
            <w:r>
              <w:rPr>
                <w:rFonts w:hint="eastAsia" w:ascii="宋体" w:hAnsi="宋体"/>
                <w:color w:val="auto"/>
                <w:szCs w:val="21"/>
                <w:highlight w:val="none"/>
              </w:rPr>
              <w:t>投标函中的大写报价与已标价工程量清单中的投标总价一致</w:t>
            </w:r>
          </w:p>
          <w:p>
            <w:pPr>
              <w:rPr>
                <w:rFonts w:ascii="宋体" w:hAnsi="宋体"/>
                <w:color w:val="auto"/>
                <w:szCs w:val="21"/>
                <w:highlight w:val="none"/>
              </w:rPr>
            </w:pPr>
            <w:r>
              <w:rPr>
                <w:rFonts w:hint="eastAsia"/>
                <w:color w:val="auto"/>
                <w:szCs w:val="21"/>
                <w:highlight w:val="none"/>
              </w:rPr>
              <w:t>2</w:t>
            </w:r>
            <w:r>
              <w:rPr>
                <w:rFonts w:hint="eastAsia" w:ascii="宋体" w:hAnsi="宋体" w:cs="宋体"/>
                <w:color w:val="auto"/>
                <w:highlight w:val="none"/>
              </w:rPr>
              <w:t>．</w:t>
            </w:r>
            <w:r>
              <w:rPr>
                <w:rFonts w:hint="eastAsia" w:ascii="宋体" w:hAnsi="宋体"/>
                <w:color w:val="auto"/>
                <w:szCs w:val="21"/>
                <w:highlight w:val="none"/>
              </w:rPr>
              <w:t>投标函中的大写报价不超过本标段最高投标限价</w:t>
            </w:r>
          </w:p>
          <w:p>
            <w:pPr>
              <w:rPr>
                <w:rFonts w:ascii="宋体" w:hAnsi="宋体"/>
                <w:color w:val="auto"/>
                <w:szCs w:val="21"/>
                <w:highlight w:val="none"/>
              </w:rPr>
            </w:pPr>
            <w:r>
              <w:rPr>
                <w:rFonts w:hint="eastAsia"/>
                <w:color w:val="auto"/>
                <w:szCs w:val="21"/>
                <w:highlight w:val="none"/>
              </w:rPr>
              <w:t>3</w:t>
            </w:r>
            <w:r>
              <w:rPr>
                <w:rFonts w:hint="eastAsia" w:ascii="宋体" w:hAnsi="宋体" w:cs="宋体"/>
                <w:color w:val="auto"/>
                <w:highlight w:val="none"/>
              </w:rPr>
              <w:t>．</w:t>
            </w:r>
            <w:r>
              <w:rPr>
                <w:rFonts w:hint="eastAsia" w:ascii="宋体" w:hAnsi="宋体"/>
                <w:color w:val="auto"/>
                <w:szCs w:val="21"/>
                <w:highlight w:val="none"/>
              </w:rPr>
              <w:t>投标报价（算术错误修正后的报价）不超过本标段最高投标限价</w:t>
            </w:r>
          </w:p>
          <w:p>
            <w:pPr>
              <w:rPr>
                <w:rFonts w:ascii="宋体" w:hAnsi="宋体"/>
                <w:color w:val="auto"/>
                <w:szCs w:val="21"/>
                <w:highlight w:val="none"/>
              </w:rPr>
            </w:pPr>
            <w:r>
              <w:rPr>
                <w:rFonts w:hint="eastAsia"/>
                <w:color w:val="auto"/>
                <w:szCs w:val="21"/>
                <w:highlight w:val="none"/>
              </w:rPr>
              <w:t>4</w:t>
            </w:r>
            <w:r>
              <w:rPr>
                <w:rFonts w:hint="eastAsia" w:ascii="宋体" w:hAnsi="宋体"/>
                <w:color w:val="auto"/>
                <w:szCs w:val="21"/>
                <w:highlight w:val="none"/>
              </w:rPr>
              <w:t>. 投标报价不低于其成本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spacing w:line="400" w:lineRule="exact"/>
              <w:jc w:val="center"/>
              <w:rPr>
                <w:rFonts w:ascii="宋体" w:hAnsi="宋体" w:cs="宋体"/>
                <w:color w:val="auto"/>
                <w:szCs w:val="21"/>
                <w:highlight w:val="none"/>
              </w:rPr>
            </w:pPr>
          </w:p>
        </w:tc>
        <w:tc>
          <w:tcPr>
            <w:tcW w:w="2119" w:type="dxa"/>
            <w:gridSpan w:val="4"/>
            <w:vAlign w:val="center"/>
          </w:tcPr>
          <w:p>
            <w:pPr>
              <w:rPr>
                <w:rFonts w:ascii="宋体" w:hAnsi="宋体" w:cs="宋体"/>
                <w:color w:val="auto"/>
                <w:szCs w:val="21"/>
                <w:highlight w:val="none"/>
              </w:rPr>
            </w:pPr>
            <w:r>
              <w:rPr>
                <w:rFonts w:hint="eastAsia" w:ascii="宋体" w:hAnsi="宋体"/>
                <w:color w:val="auto"/>
                <w:szCs w:val="21"/>
                <w:highlight w:val="none"/>
              </w:rPr>
              <w:t>已标价工程量清单</w:t>
            </w:r>
          </w:p>
        </w:tc>
        <w:tc>
          <w:tcPr>
            <w:tcW w:w="5404" w:type="dxa"/>
            <w:vAlign w:val="center"/>
          </w:tcPr>
          <w:p>
            <w:pPr>
              <w:spacing w:line="400" w:lineRule="exact"/>
              <w:jc w:val="left"/>
              <w:rPr>
                <w:rFonts w:hint="eastAsia" w:ascii="宋体" w:hAnsi="宋体" w:eastAsia="宋体" w:cs="宋体"/>
                <w:color w:val="auto"/>
                <w:highlight w:val="none"/>
                <w:lang w:eastAsia="zh-CN"/>
              </w:rPr>
            </w:pPr>
            <w:r>
              <w:rPr>
                <w:rFonts w:hint="eastAsia" w:ascii="宋体" w:hAnsi="宋体"/>
                <w:color w:val="auto"/>
                <w:szCs w:val="21"/>
                <w:highlight w:val="none"/>
              </w:rPr>
              <w:t>已标价工程量清单符合</w:t>
            </w:r>
            <w:r>
              <w:rPr>
                <w:rFonts w:hint="eastAsia" w:ascii="宋体" w:hAnsi="宋体"/>
                <w:color w:val="auto"/>
                <w:szCs w:val="21"/>
                <w:highlight w:val="none"/>
                <w:lang w:eastAsia="zh-CN"/>
              </w:rPr>
              <w:t>第五章</w:t>
            </w:r>
            <w:r>
              <w:rPr>
                <w:rFonts w:hint="eastAsia" w:ascii="宋体" w:hAnsi="宋体" w:cs="宋体"/>
                <w:color w:val="auto"/>
                <w:szCs w:val="21"/>
                <w:highlight w:val="none"/>
              </w:rPr>
              <w:t>“工程量清单”</w:t>
            </w:r>
            <w:r>
              <w:rPr>
                <w:rFonts w:hint="eastAsia" w:ascii="宋体" w:hAnsi="宋体"/>
                <w:color w:val="auto"/>
                <w:szCs w:val="21"/>
                <w:highlight w:val="none"/>
              </w:rPr>
              <w:t>给出的</w:t>
            </w:r>
            <w:r>
              <w:rPr>
                <w:rFonts w:hint="eastAsia" w:ascii="宋体" w:hAnsi="宋体"/>
                <w:color w:val="auto"/>
                <w:szCs w:val="21"/>
                <w:highlight w:val="none"/>
                <w:lang w:val="en-US" w:eastAsia="zh-CN"/>
              </w:rPr>
              <w:t>数</w:t>
            </w:r>
            <w:r>
              <w:rPr>
                <w:rFonts w:hint="eastAsia"/>
                <w:color w:val="auto"/>
                <w:highlight w:val="none"/>
                <w:lang w:val="en-US" w:eastAsia="zh-CN"/>
              </w:rPr>
              <w:t>量及范围</w:t>
            </w:r>
            <w:r>
              <w:rPr>
                <w:rFonts w:hint="eastAsia" w:ascii="宋体" w:hAnsi="宋体"/>
                <w:color w:val="auto"/>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825" w:type="dxa"/>
            <w:vMerge w:val="continue"/>
            <w:vAlign w:val="center"/>
          </w:tcPr>
          <w:p>
            <w:pPr>
              <w:jc w:val="center"/>
              <w:rPr>
                <w:rFonts w:ascii="宋体" w:hAnsi="宋体" w:cs="宋体"/>
                <w:color w:val="auto"/>
                <w:szCs w:val="21"/>
                <w:highlight w:val="none"/>
              </w:rPr>
            </w:pPr>
          </w:p>
        </w:tc>
        <w:tc>
          <w:tcPr>
            <w:tcW w:w="630" w:type="dxa"/>
            <w:vMerge w:val="continue"/>
            <w:vAlign w:val="center"/>
          </w:tcPr>
          <w:p>
            <w:pPr>
              <w:jc w:val="center"/>
              <w:rPr>
                <w:rFonts w:ascii="宋体" w:hAnsi="宋体" w:cs="宋体"/>
                <w:color w:val="auto"/>
                <w:szCs w:val="21"/>
                <w:highlight w:val="none"/>
              </w:rPr>
            </w:pPr>
          </w:p>
        </w:tc>
        <w:tc>
          <w:tcPr>
            <w:tcW w:w="2119" w:type="dxa"/>
            <w:gridSpan w:val="4"/>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技术标准和要求</w:t>
            </w:r>
          </w:p>
        </w:tc>
        <w:tc>
          <w:tcPr>
            <w:tcW w:w="5404" w:type="dxa"/>
            <w:vAlign w:val="center"/>
          </w:tcPr>
          <w:p>
            <w:pPr>
              <w:snapToGrid w:val="0"/>
              <w:rPr>
                <w:rFonts w:ascii="宋体" w:hAnsi="宋体" w:cs="宋体"/>
                <w:color w:val="auto"/>
                <w:szCs w:val="21"/>
                <w:highlight w:val="none"/>
              </w:rPr>
            </w:pPr>
            <w:r>
              <w:rPr>
                <w:rFonts w:hint="eastAsia" w:ascii="宋体" w:hAnsi="宋体"/>
                <w:color w:val="auto"/>
                <w:szCs w:val="21"/>
                <w:highlight w:val="none"/>
              </w:rPr>
              <w:t>符合</w:t>
            </w:r>
            <w:r>
              <w:rPr>
                <w:rFonts w:hint="eastAsia" w:ascii="宋体" w:hAnsi="宋体"/>
                <w:color w:val="auto"/>
                <w:szCs w:val="21"/>
                <w:highlight w:val="none"/>
                <w:lang w:eastAsia="zh-CN"/>
              </w:rPr>
              <w:t>第七章</w:t>
            </w:r>
            <w:r>
              <w:rPr>
                <w:rFonts w:hint="eastAsia" w:ascii="宋体" w:hAnsi="宋体"/>
                <w:color w:val="auto"/>
                <w:szCs w:val="21"/>
                <w:highlight w:val="none"/>
              </w:rPr>
              <w:t>“技术标准和要求”规定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1455" w:type="dxa"/>
            <w:gridSpan w:val="2"/>
            <w:vAlign w:val="center"/>
          </w:tcPr>
          <w:p>
            <w:pPr>
              <w:jc w:val="center"/>
              <w:rPr>
                <w:rFonts w:ascii="宋体" w:hAnsi="宋体" w:cs="宋体"/>
                <w:color w:val="auto"/>
                <w:szCs w:val="21"/>
                <w:highlight w:val="none"/>
              </w:rPr>
            </w:pPr>
            <w:r>
              <w:rPr>
                <w:rFonts w:hint="eastAsia"/>
                <w:color w:val="auto"/>
                <w:highlight w:val="none"/>
              </w:rPr>
              <w:t>3.1.2</w:t>
            </w:r>
          </w:p>
        </w:tc>
        <w:tc>
          <w:tcPr>
            <w:tcW w:w="7523" w:type="dxa"/>
            <w:gridSpan w:val="5"/>
            <w:vAlign w:val="center"/>
          </w:tcPr>
          <w:p>
            <w:pPr>
              <w:rPr>
                <w:rFonts w:ascii="宋体" w:hAnsi="宋体" w:cs="宋体"/>
                <w:color w:val="auto"/>
                <w:szCs w:val="21"/>
                <w:highlight w:val="none"/>
              </w:rPr>
            </w:pPr>
            <w:r>
              <w:rPr>
                <w:rFonts w:hint="eastAsia" w:ascii="宋体" w:hAnsi="宋体" w:cs="宋体"/>
                <w:color w:val="auto"/>
                <w:szCs w:val="21"/>
                <w:highlight w:val="none"/>
              </w:rPr>
              <w:t>投标人有以下情形之一的，评标委员会应当否决其投标：</w:t>
            </w:r>
          </w:p>
          <w:p>
            <w:pPr>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highlight w:val="none"/>
              </w:rPr>
              <w:t>．</w:t>
            </w:r>
            <w:r>
              <w:rPr>
                <w:rFonts w:hint="eastAsia" w:ascii="宋体" w:hAnsi="宋体" w:cs="宋体"/>
                <w:color w:val="auto"/>
                <w:szCs w:val="21"/>
                <w:highlight w:val="none"/>
              </w:rPr>
              <w:t>不按评标委员会要求澄清、说明或补正的；</w:t>
            </w:r>
          </w:p>
          <w:p>
            <w:pP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highlight w:val="none"/>
              </w:rPr>
              <w:t>．有</w:t>
            </w:r>
            <w:r>
              <w:rPr>
                <w:rFonts w:hint="eastAsia" w:ascii="宋体" w:hAnsi="宋体" w:cs="宋体"/>
                <w:color w:val="auto"/>
                <w:szCs w:val="21"/>
                <w:highlight w:val="none"/>
              </w:rPr>
              <w:t>串通投标、弄虚作假</w:t>
            </w:r>
            <w:r>
              <w:rPr>
                <w:rFonts w:hint="eastAsia"/>
                <w:color w:val="auto"/>
                <w:highlight w:val="none"/>
              </w:rPr>
              <w:t>、行贿</w:t>
            </w:r>
            <w:r>
              <w:rPr>
                <w:rFonts w:hint="eastAsia" w:ascii="宋体" w:hAnsi="宋体" w:cs="宋体"/>
                <w:color w:val="auto"/>
                <w:szCs w:val="21"/>
                <w:highlight w:val="none"/>
              </w:rPr>
              <w:t>或有其他违法行为的。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455" w:type="dxa"/>
            <w:gridSpan w:val="2"/>
            <w:vAlign w:val="center"/>
          </w:tcPr>
          <w:p>
            <w:pPr>
              <w:snapToGrid w:val="0"/>
              <w:jc w:val="center"/>
              <w:rPr>
                <w:rFonts w:ascii="宋体" w:hAnsi="宋体" w:cs="宋体"/>
                <w:b/>
                <w:color w:val="auto"/>
                <w:szCs w:val="21"/>
                <w:highlight w:val="none"/>
              </w:rPr>
            </w:pPr>
            <w:r>
              <w:rPr>
                <w:rFonts w:hint="eastAsia" w:ascii="宋体" w:hAnsi="宋体" w:cs="宋体"/>
                <w:b/>
                <w:color w:val="auto"/>
                <w:szCs w:val="21"/>
                <w:highlight w:val="none"/>
              </w:rPr>
              <w:t>条款号</w:t>
            </w:r>
          </w:p>
        </w:tc>
        <w:tc>
          <w:tcPr>
            <w:tcW w:w="2119" w:type="dxa"/>
            <w:gridSpan w:val="4"/>
            <w:vAlign w:val="center"/>
          </w:tcPr>
          <w:p>
            <w:pPr>
              <w:snapToGrid w:val="0"/>
              <w:jc w:val="center"/>
              <w:rPr>
                <w:rFonts w:ascii="宋体" w:hAnsi="宋体" w:cs="宋体"/>
                <w:b/>
                <w:color w:val="auto"/>
                <w:szCs w:val="21"/>
                <w:highlight w:val="none"/>
              </w:rPr>
            </w:pPr>
            <w:r>
              <w:rPr>
                <w:rFonts w:hint="eastAsia" w:ascii="宋体" w:hAnsi="宋体" w:cs="宋体"/>
                <w:b/>
                <w:color w:val="auto"/>
                <w:szCs w:val="21"/>
                <w:highlight w:val="none"/>
              </w:rPr>
              <w:t>条款内容</w:t>
            </w:r>
          </w:p>
        </w:tc>
        <w:tc>
          <w:tcPr>
            <w:tcW w:w="5404" w:type="dxa"/>
            <w:vAlign w:val="center"/>
          </w:tcPr>
          <w:p>
            <w:pPr>
              <w:snapToGrid w:val="0"/>
              <w:jc w:val="center"/>
              <w:rPr>
                <w:rFonts w:ascii="宋体" w:hAnsi="宋体" w:cs="宋体"/>
                <w:b/>
                <w:color w:val="auto"/>
                <w:szCs w:val="21"/>
                <w:highlight w:val="none"/>
              </w:rPr>
            </w:pPr>
            <w:r>
              <w:rPr>
                <w:rFonts w:hint="eastAsia" w:ascii="宋体" w:hAnsi="宋体" w:cs="宋体"/>
                <w:b/>
                <w:color w:val="auto"/>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455" w:type="dxa"/>
            <w:gridSpan w:val="2"/>
            <w:vAlign w:val="center"/>
          </w:tcPr>
          <w:p>
            <w:pPr>
              <w:jc w:val="center"/>
              <w:rPr>
                <w:rFonts w:ascii="宋体" w:hAnsi="宋体" w:cs="宋体"/>
                <w:color w:val="auto"/>
                <w:szCs w:val="21"/>
                <w:highlight w:val="none"/>
              </w:rPr>
            </w:pPr>
            <w:bookmarkStart w:id="1341" w:name="_Toc221950459"/>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1</w:t>
            </w:r>
            <w:bookmarkEnd w:id="1341"/>
          </w:p>
        </w:tc>
        <w:tc>
          <w:tcPr>
            <w:tcW w:w="2119" w:type="dxa"/>
            <w:gridSpan w:val="4"/>
            <w:vAlign w:val="center"/>
          </w:tcPr>
          <w:p>
            <w:pPr>
              <w:snapToGrid w:val="0"/>
              <w:jc w:val="center"/>
              <w:rPr>
                <w:rFonts w:ascii="宋体" w:hAnsi="宋体" w:cs="宋体"/>
                <w:color w:val="auto"/>
                <w:szCs w:val="21"/>
                <w:highlight w:val="none"/>
              </w:rPr>
            </w:pPr>
            <w:bookmarkStart w:id="1342" w:name="_Toc221950460"/>
            <w:r>
              <w:rPr>
                <w:rFonts w:hint="eastAsia" w:ascii="宋体" w:hAnsi="宋体" w:cs="宋体"/>
                <w:color w:val="auto"/>
                <w:szCs w:val="21"/>
                <w:highlight w:val="none"/>
              </w:rPr>
              <w:t>分值构成</w:t>
            </w:r>
            <w:bookmarkEnd w:id="1342"/>
          </w:p>
          <w:p>
            <w:pPr>
              <w:snapToGrid w:val="0"/>
              <w:jc w:val="center"/>
              <w:rPr>
                <w:rFonts w:ascii="宋体" w:hAnsi="宋体" w:cs="宋体"/>
                <w:color w:val="auto"/>
                <w:szCs w:val="21"/>
                <w:highlight w:val="none"/>
              </w:rPr>
            </w:pPr>
            <w:bookmarkStart w:id="1343" w:name="_Toc221950461"/>
            <w:r>
              <w:rPr>
                <w:rFonts w:hint="eastAsia" w:ascii="宋体" w:hAnsi="宋体" w:cs="宋体"/>
                <w:color w:val="auto"/>
                <w:szCs w:val="21"/>
                <w:highlight w:val="none"/>
              </w:rPr>
              <w:t>(总分</w:t>
            </w:r>
            <w:r>
              <w:rPr>
                <w:rFonts w:hint="eastAsia" w:cs="宋体"/>
                <w:color w:val="auto"/>
                <w:szCs w:val="21"/>
                <w:highlight w:val="none"/>
              </w:rPr>
              <w:t>100</w:t>
            </w:r>
            <w:r>
              <w:rPr>
                <w:rFonts w:hint="eastAsia" w:ascii="宋体" w:hAnsi="宋体" w:cs="宋体"/>
                <w:color w:val="auto"/>
                <w:szCs w:val="21"/>
                <w:highlight w:val="none"/>
              </w:rPr>
              <w:t>分)</w:t>
            </w:r>
            <w:bookmarkEnd w:id="1343"/>
          </w:p>
        </w:tc>
        <w:tc>
          <w:tcPr>
            <w:tcW w:w="5404" w:type="dxa"/>
            <w:vAlign w:val="center"/>
          </w:tcPr>
          <w:p>
            <w:pPr>
              <w:snapToGrid w:val="0"/>
              <w:rPr>
                <w:rFonts w:eastAsia="黑体"/>
                <w:color w:val="auto"/>
                <w:highlight w:val="none"/>
              </w:rPr>
            </w:pPr>
            <w:r>
              <w:rPr>
                <w:rFonts w:hint="eastAsia"/>
                <w:color w:val="auto"/>
                <w:highlight w:val="none"/>
              </w:rPr>
              <w:t>投标报价、施工组织设计、项目管理机构、综合信用评价各为100分。其权重</w:t>
            </w:r>
            <w:r>
              <w:rPr>
                <w:rStyle w:val="27"/>
                <w:rFonts w:hint="eastAsia"/>
                <w:color w:val="auto"/>
                <w:highlight w:val="none"/>
              </w:rPr>
              <w:footnoteReference w:id="12"/>
            </w:r>
            <w:r>
              <w:rPr>
                <w:rFonts w:hint="eastAsia"/>
                <w:color w:val="auto"/>
                <w:highlight w:val="none"/>
              </w:rPr>
              <w:t>分别为：80%，</w:t>
            </w:r>
            <w:r>
              <w:rPr>
                <w:color w:val="auto"/>
                <w:highlight w:val="none"/>
              </w:rPr>
              <w:t>5</w:t>
            </w:r>
            <w:r>
              <w:rPr>
                <w:rFonts w:hint="eastAsia"/>
                <w:color w:val="auto"/>
                <w:highlight w:val="none"/>
              </w:rPr>
              <w:t>%， 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1" w:hRule="atLeast"/>
          <w:jc w:val="center"/>
        </w:trPr>
        <w:tc>
          <w:tcPr>
            <w:tcW w:w="1455" w:type="dxa"/>
            <w:gridSpan w:val="2"/>
            <w:vAlign w:val="center"/>
          </w:tcPr>
          <w:p>
            <w:pPr>
              <w:jc w:val="center"/>
              <w:rPr>
                <w:rFonts w:ascii="宋体" w:hAnsi="宋体" w:cs="宋体"/>
                <w:color w:val="auto"/>
                <w:szCs w:val="21"/>
                <w:highlight w:val="none"/>
              </w:rPr>
            </w:pPr>
            <w:bookmarkStart w:id="1344" w:name="_Toc221950466"/>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bookmarkEnd w:id="1344"/>
          </w:p>
        </w:tc>
        <w:tc>
          <w:tcPr>
            <w:tcW w:w="2119" w:type="dxa"/>
            <w:gridSpan w:val="4"/>
            <w:vAlign w:val="center"/>
          </w:tcPr>
          <w:p>
            <w:pPr>
              <w:jc w:val="center"/>
              <w:rPr>
                <w:rFonts w:ascii="宋体" w:hAnsi="宋体" w:cs="宋体"/>
                <w:color w:val="auto"/>
                <w:szCs w:val="21"/>
                <w:highlight w:val="none"/>
              </w:rPr>
            </w:pPr>
            <w:bookmarkStart w:id="1345" w:name="_Toc221950467"/>
            <w:r>
              <w:rPr>
                <w:rFonts w:hint="eastAsia" w:ascii="宋体" w:hAnsi="宋体" w:cs="宋体"/>
                <w:color w:val="auto"/>
                <w:szCs w:val="21"/>
                <w:highlight w:val="none"/>
              </w:rPr>
              <w:t>评标基准价计算</w:t>
            </w:r>
            <w:bookmarkEnd w:id="1345"/>
          </w:p>
        </w:tc>
        <w:tc>
          <w:tcPr>
            <w:tcW w:w="5404" w:type="dxa"/>
            <w:vAlign w:val="center"/>
          </w:tcPr>
          <w:p>
            <w:pPr>
              <w:snapToGrid w:val="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本招标工程采用</w:t>
            </w:r>
            <w:r>
              <w:rPr>
                <w:rFonts w:hint="eastAsia" w:ascii="宋体" w:hAnsi="宋体"/>
                <w:color w:val="auto"/>
                <w:szCs w:val="21"/>
                <w:highlight w:val="none"/>
              </w:rPr>
              <w:t>最高投标限价</w:t>
            </w:r>
            <w:r>
              <w:rPr>
                <w:rFonts w:hint="eastAsia" w:ascii="宋体" w:hAnsi="宋体" w:cs="宋体"/>
                <w:color w:val="auto"/>
                <w:szCs w:val="21"/>
                <w:highlight w:val="none"/>
              </w:rPr>
              <w:t>（</w:t>
            </w:r>
            <w:r>
              <w:rPr>
                <w:rFonts w:hint="eastAsia" w:ascii="宋体" w:hAnsi="宋体"/>
                <w:color w:val="auto"/>
                <w:szCs w:val="21"/>
                <w:highlight w:val="none"/>
              </w:rPr>
              <w:t>最高投标限价</w:t>
            </w:r>
            <w:r>
              <w:rPr>
                <w:rFonts w:hint="eastAsia" w:ascii="宋体" w:hAnsi="宋体" w:cs="宋体"/>
                <w:color w:val="auto"/>
                <w:szCs w:val="21"/>
                <w:highlight w:val="none"/>
              </w:rPr>
              <w:t>已在招标文件中载明或已按规定形式发布），评标基准价的确定方法为：</w:t>
            </w:r>
            <w:r>
              <w:rPr>
                <w:rFonts w:hint="eastAsia" w:ascii="宋体" w:hAnsi="宋体" w:cs="宋体"/>
                <w:color w:val="auto"/>
                <w:szCs w:val="21"/>
                <w:highlight w:val="none"/>
                <w:lang w:val="en-US" w:eastAsia="zh-CN"/>
              </w:rPr>
              <w:t>方法</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jc w:val="center"/>
        </w:trPr>
        <w:tc>
          <w:tcPr>
            <w:tcW w:w="1455" w:type="dxa"/>
            <w:gridSpan w:val="2"/>
            <w:vAlign w:val="center"/>
          </w:tcPr>
          <w:p>
            <w:pPr>
              <w:jc w:val="cente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3</w:t>
            </w:r>
          </w:p>
        </w:tc>
        <w:tc>
          <w:tcPr>
            <w:tcW w:w="2119" w:type="dxa"/>
            <w:gridSpan w:val="4"/>
            <w:vAlign w:val="center"/>
          </w:tcPr>
          <w:p>
            <w:pPr>
              <w:jc w:val="center"/>
              <w:rPr>
                <w:rFonts w:ascii="宋体" w:hAnsi="宋体" w:cs="宋体"/>
                <w:color w:val="auto"/>
                <w:szCs w:val="21"/>
                <w:highlight w:val="none"/>
              </w:rPr>
            </w:pPr>
            <w:r>
              <w:rPr>
                <w:rFonts w:hint="eastAsia" w:ascii="宋体" w:hAnsi="宋体" w:cs="宋体"/>
                <w:color w:val="auto"/>
                <w:szCs w:val="21"/>
                <w:highlight w:val="none"/>
              </w:rPr>
              <w:t>偏差率计算</w:t>
            </w:r>
          </w:p>
        </w:tc>
        <w:tc>
          <w:tcPr>
            <w:tcW w:w="5404"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（投标报价-评标基准价）/评标基准价×100%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atLeast"/>
          <w:jc w:val="center"/>
        </w:trPr>
        <w:tc>
          <w:tcPr>
            <w:tcW w:w="825" w:type="dxa"/>
            <w:vAlign w:val="center"/>
          </w:tcPr>
          <w:p>
            <w:pPr>
              <w:snapToGrid w:val="0"/>
              <w:jc w:val="center"/>
              <w:rPr>
                <w:rFonts w:ascii="宋体" w:hAnsi="宋体" w:cs="宋体"/>
                <w:b/>
                <w:color w:val="auto"/>
                <w:szCs w:val="21"/>
                <w:highlight w:val="none"/>
              </w:rPr>
            </w:pPr>
            <w:r>
              <w:rPr>
                <w:rFonts w:hint="eastAsia" w:ascii="宋体" w:hAnsi="宋体" w:cs="宋体"/>
                <w:b/>
                <w:color w:val="auto"/>
                <w:szCs w:val="21"/>
                <w:highlight w:val="none"/>
              </w:rPr>
              <w:t>条款号</w:t>
            </w:r>
          </w:p>
        </w:tc>
        <w:tc>
          <w:tcPr>
            <w:tcW w:w="1806" w:type="dxa"/>
            <w:gridSpan w:val="3"/>
            <w:vAlign w:val="center"/>
          </w:tcPr>
          <w:p>
            <w:pPr>
              <w:snapToGrid w:val="0"/>
              <w:jc w:val="center"/>
              <w:rPr>
                <w:rFonts w:ascii="宋体" w:hAnsi="宋体" w:cs="宋体"/>
                <w:b/>
                <w:color w:val="auto"/>
                <w:szCs w:val="21"/>
                <w:highlight w:val="none"/>
              </w:rPr>
            </w:pPr>
            <w:r>
              <w:rPr>
                <w:rFonts w:hint="eastAsia" w:ascii="宋体" w:hAnsi="宋体" w:cs="宋体"/>
                <w:b/>
                <w:color w:val="auto"/>
                <w:szCs w:val="21"/>
                <w:highlight w:val="none"/>
              </w:rPr>
              <w:t>评分因素</w:t>
            </w:r>
          </w:p>
        </w:tc>
        <w:tc>
          <w:tcPr>
            <w:tcW w:w="943" w:type="dxa"/>
            <w:gridSpan w:val="2"/>
            <w:vAlign w:val="center"/>
          </w:tcPr>
          <w:p>
            <w:pPr>
              <w:snapToGrid w:val="0"/>
              <w:jc w:val="center"/>
              <w:rPr>
                <w:rFonts w:ascii="宋体" w:hAnsi="宋体"/>
                <w:b/>
                <w:color w:val="auto"/>
                <w:szCs w:val="21"/>
                <w:highlight w:val="none"/>
              </w:rPr>
            </w:pPr>
            <w:r>
              <w:rPr>
                <w:rFonts w:hint="eastAsia" w:ascii="宋体" w:hAnsi="宋体"/>
                <w:b/>
                <w:color w:val="auto"/>
                <w:szCs w:val="21"/>
                <w:highlight w:val="none"/>
              </w:rPr>
              <w:t>标准</w:t>
            </w:r>
          </w:p>
          <w:p>
            <w:pPr>
              <w:snapToGrid w:val="0"/>
              <w:jc w:val="center"/>
              <w:rPr>
                <w:rFonts w:ascii="宋体" w:hAnsi="宋体" w:cs="宋体"/>
                <w:b/>
                <w:color w:val="auto"/>
                <w:szCs w:val="21"/>
                <w:highlight w:val="none"/>
              </w:rPr>
            </w:pPr>
            <w:r>
              <w:rPr>
                <w:rFonts w:hint="eastAsia" w:ascii="宋体" w:hAnsi="宋体" w:cs="宋体"/>
                <w:b/>
                <w:color w:val="auto"/>
                <w:szCs w:val="21"/>
                <w:highlight w:val="none"/>
              </w:rPr>
              <w:t>分值</w:t>
            </w:r>
          </w:p>
        </w:tc>
        <w:tc>
          <w:tcPr>
            <w:tcW w:w="5404" w:type="dxa"/>
            <w:vAlign w:val="center"/>
          </w:tcPr>
          <w:p>
            <w:pPr>
              <w:snapToGrid w:val="0"/>
              <w:jc w:val="center"/>
              <w:rPr>
                <w:rFonts w:ascii="宋体" w:hAnsi="宋体" w:cs="宋体"/>
                <w:b/>
                <w:color w:val="auto"/>
                <w:szCs w:val="21"/>
                <w:highlight w:val="none"/>
              </w:rPr>
            </w:pPr>
            <w:r>
              <w:rPr>
                <w:rFonts w:hint="eastAsia" w:ascii="宋体" w:hAnsi="宋体" w:cs="宋体"/>
                <w:b/>
                <w:color w:val="auto"/>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2" w:hRule="atLeast"/>
          <w:jc w:val="center"/>
        </w:trPr>
        <w:tc>
          <w:tcPr>
            <w:tcW w:w="825" w:type="dxa"/>
            <w:vMerge w:val="restart"/>
            <w:vAlign w:val="center"/>
          </w:tcPr>
          <w:p>
            <w:pPr>
              <w:rPr>
                <w:rFonts w:ascii="宋体" w:hAnsi="宋体" w:cs="宋体"/>
                <w:color w:val="auto"/>
                <w:szCs w:val="21"/>
                <w:highlight w:val="none"/>
              </w:rPr>
            </w:pPr>
          </w:p>
          <w:p>
            <w:pPr>
              <w:jc w:val="cente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 xml:space="preserve"> (</w:t>
            </w:r>
            <w:r>
              <w:rPr>
                <w:rFonts w:hint="eastAsia" w:cs="宋体"/>
                <w:color w:val="auto"/>
                <w:szCs w:val="21"/>
                <w:highlight w:val="none"/>
              </w:rPr>
              <w:t>1</w:t>
            </w:r>
            <w:r>
              <w:rPr>
                <w:rFonts w:hint="eastAsia" w:ascii="宋体" w:hAnsi="宋体" w:cs="宋体"/>
                <w:color w:val="auto"/>
                <w:szCs w:val="21"/>
                <w:highlight w:val="none"/>
              </w:rPr>
              <w:t>)</w:t>
            </w:r>
          </w:p>
          <w:p>
            <w:pPr>
              <w:jc w:val="center"/>
              <w:rPr>
                <w:rFonts w:ascii="宋体" w:hAnsi="宋体" w:cs="宋体"/>
                <w:color w:val="auto"/>
                <w:szCs w:val="21"/>
                <w:highlight w:val="none"/>
              </w:rPr>
            </w:pPr>
          </w:p>
          <w:p>
            <w:pPr>
              <w:jc w:val="center"/>
              <w:rPr>
                <w:rFonts w:ascii="宋体" w:hAnsi="宋体" w:cs="宋体"/>
                <w:color w:val="auto"/>
                <w:szCs w:val="21"/>
                <w:highlight w:val="none"/>
              </w:rPr>
            </w:pPr>
          </w:p>
        </w:tc>
        <w:tc>
          <w:tcPr>
            <w:tcW w:w="1806" w:type="dxa"/>
            <w:gridSpan w:val="3"/>
            <w:vAlign w:val="center"/>
          </w:tcPr>
          <w:p>
            <w:pPr>
              <w:spacing w:after="120" w:line="300" w:lineRule="auto"/>
              <w:jc w:val="center"/>
              <w:rPr>
                <w:rFonts w:ascii="宋体" w:hAnsi="宋体" w:cs="宋体"/>
                <w:color w:val="auto"/>
                <w:szCs w:val="21"/>
                <w:highlight w:val="none"/>
              </w:rPr>
            </w:pPr>
            <w:r>
              <w:rPr>
                <w:rFonts w:hint="eastAsia" w:ascii="宋体" w:hAnsi="宋体" w:cs="宋体"/>
                <w:color w:val="auto"/>
                <w:szCs w:val="21"/>
                <w:highlight w:val="none"/>
              </w:rPr>
              <w:t>投标报价</w:t>
            </w:r>
          </w:p>
          <w:p>
            <w:pPr>
              <w:spacing w:after="120" w:line="300" w:lineRule="auto"/>
              <w:jc w:val="center"/>
              <w:rPr>
                <w:rFonts w:ascii="宋体" w:hAnsi="宋体" w:cs="宋体"/>
                <w:color w:val="auto"/>
                <w:szCs w:val="21"/>
                <w:highlight w:val="none"/>
              </w:rPr>
            </w:pPr>
            <w:r>
              <w:rPr>
                <w:rFonts w:hint="eastAsia" w:cs="宋体"/>
                <w:color w:val="auto"/>
                <w:szCs w:val="21"/>
                <w:highlight w:val="none"/>
              </w:rPr>
              <w:t>100</w:t>
            </w:r>
            <w:r>
              <w:rPr>
                <w:rFonts w:hint="eastAsia" w:ascii="宋体" w:hAnsi="宋体" w:cs="宋体"/>
                <w:color w:val="auto"/>
                <w:szCs w:val="21"/>
                <w:highlight w:val="none"/>
              </w:rPr>
              <w:t>分</w:t>
            </w:r>
          </w:p>
        </w:tc>
        <w:tc>
          <w:tcPr>
            <w:tcW w:w="943" w:type="dxa"/>
            <w:gridSpan w:val="2"/>
            <w:vAlign w:val="center"/>
          </w:tcPr>
          <w:p>
            <w:pPr>
              <w:spacing w:after="120"/>
              <w:jc w:val="center"/>
              <w:rPr>
                <w:rFonts w:ascii="宋体" w:hAnsi="宋体" w:cs="宋体"/>
                <w:color w:val="auto"/>
                <w:szCs w:val="21"/>
                <w:highlight w:val="none"/>
              </w:rPr>
            </w:pPr>
            <w:r>
              <w:rPr>
                <w:rFonts w:hint="eastAsia" w:cs="宋体"/>
                <w:color w:val="auto"/>
                <w:szCs w:val="21"/>
                <w:highlight w:val="none"/>
              </w:rPr>
              <w:t>100</w:t>
            </w:r>
            <w:r>
              <w:rPr>
                <w:rFonts w:hint="eastAsia" w:ascii="宋体" w:hAnsi="宋体" w:cs="宋体"/>
                <w:color w:val="auto"/>
                <w:szCs w:val="21"/>
                <w:highlight w:val="none"/>
              </w:rPr>
              <w:t>分</w:t>
            </w:r>
          </w:p>
        </w:tc>
        <w:tc>
          <w:tcPr>
            <w:tcW w:w="5404" w:type="dxa"/>
            <w:vAlign w:val="center"/>
          </w:tcPr>
          <w:p>
            <w:pPr>
              <w:rPr>
                <w:color w:val="auto"/>
                <w:highlight w:val="none"/>
              </w:rPr>
            </w:pPr>
            <w:r>
              <w:rPr>
                <w:rFonts w:hint="eastAsia"/>
                <w:color w:val="auto"/>
                <w:highlight w:val="none"/>
              </w:rPr>
              <w:t>投标人的投标报价等于评标基准价的，得100分，</w:t>
            </w:r>
            <w:r>
              <w:rPr>
                <w:rFonts w:hint="eastAsia"/>
                <w:color w:val="auto"/>
                <w:highlight w:val="none"/>
                <w:u w:val="single"/>
              </w:rPr>
              <w:t>投标报价比评标基准价每高1%的，扣</w:t>
            </w:r>
            <w:r>
              <w:rPr>
                <w:rFonts w:hint="eastAsia"/>
                <w:color w:val="auto"/>
                <w:highlight w:val="none"/>
                <w:u w:val="single"/>
                <w:lang w:val="en-US" w:eastAsia="zh-CN"/>
              </w:rPr>
              <w:t>0.3</w:t>
            </w:r>
            <w:r>
              <w:rPr>
                <w:rFonts w:hint="eastAsia"/>
                <w:color w:val="auto"/>
                <w:highlight w:val="none"/>
                <w:u w:val="single"/>
              </w:rPr>
              <w:t>分；每低1%扣</w:t>
            </w:r>
            <w:r>
              <w:rPr>
                <w:rFonts w:hint="eastAsia"/>
                <w:color w:val="auto"/>
                <w:highlight w:val="none"/>
                <w:u w:val="single"/>
                <w:lang w:val="en-US" w:eastAsia="zh-CN"/>
              </w:rPr>
              <w:t>0.2</w:t>
            </w:r>
            <w:r>
              <w:rPr>
                <w:rFonts w:hint="eastAsia"/>
                <w:color w:val="auto"/>
                <w:highlight w:val="none"/>
                <w:u w:val="single"/>
              </w:rPr>
              <w:t>分，扣至0分为止</w:t>
            </w:r>
            <w:r>
              <w:rPr>
                <w:rFonts w:hint="eastAsia"/>
                <w:color w:val="auto"/>
                <w:highlight w:val="none"/>
              </w:rPr>
              <w:t>。（注：扣分标准由招标人自行制定）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jc w:val="center"/>
        </w:trPr>
        <w:tc>
          <w:tcPr>
            <w:tcW w:w="825" w:type="dxa"/>
            <w:vMerge w:val="restart"/>
            <w:vAlign w:val="center"/>
          </w:tcPr>
          <w:p>
            <w:pPr>
              <w:adjustRightInd w:val="0"/>
              <w:snapToGrid w:val="0"/>
              <w:jc w:val="cente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p>
          <w:p>
            <w:pPr>
              <w:adjustRightInd w:val="0"/>
              <w:snapToGrid w:val="0"/>
              <w:jc w:val="center"/>
              <w:rPr>
                <w:rFonts w:ascii="宋体" w:hAnsi="宋体" w:cs="宋体"/>
                <w:color w:val="auto"/>
                <w:szCs w:val="21"/>
                <w:highlight w:val="none"/>
              </w:rPr>
            </w:pPr>
          </w:p>
          <w:p>
            <w:pPr>
              <w:snapToGrid w:val="0"/>
              <w:rPr>
                <w:rFonts w:ascii="宋体" w:hAnsi="宋体" w:cs="宋体"/>
                <w:color w:val="auto"/>
                <w:szCs w:val="21"/>
                <w:highlight w:val="none"/>
              </w:rPr>
            </w:pPr>
          </w:p>
        </w:tc>
        <w:tc>
          <w:tcPr>
            <w:tcW w:w="903" w:type="dxa"/>
            <w:gridSpan w:val="2"/>
            <w:vMerge w:val="restart"/>
            <w:vAlign w:val="center"/>
          </w:tcPr>
          <w:p>
            <w:pPr>
              <w:jc w:val="center"/>
              <w:rPr>
                <w:rFonts w:ascii="宋体" w:hAnsi="宋体"/>
                <w:color w:val="auto"/>
                <w:szCs w:val="21"/>
                <w:highlight w:val="none"/>
              </w:rPr>
            </w:pPr>
            <w:r>
              <w:rPr>
                <w:rFonts w:hint="eastAsia" w:ascii="宋体" w:hAnsi="宋体" w:cs="宋体"/>
                <w:color w:val="auto"/>
                <w:szCs w:val="21"/>
                <w:highlight w:val="none"/>
              </w:rPr>
              <w:t>施工组织设计</w:t>
            </w:r>
            <w:r>
              <w:rPr>
                <w:rFonts w:hint="eastAsia" w:cs="宋体"/>
                <w:color w:val="auto"/>
                <w:szCs w:val="21"/>
                <w:highlight w:val="none"/>
              </w:rPr>
              <w:t>100</w:t>
            </w:r>
            <w:r>
              <w:rPr>
                <w:rFonts w:hint="eastAsia" w:ascii="宋体" w:hAnsi="宋体" w:cs="宋体"/>
                <w:color w:val="auto"/>
                <w:szCs w:val="21"/>
                <w:highlight w:val="none"/>
              </w:rPr>
              <w:t>分</w:t>
            </w:r>
          </w:p>
        </w:tc>
        <w:tc>
          <w:tcPr>
            <w:tcW w:w="903" w:type="dxa"/>
            <w:vMerge w:val="restart"/>
            <w:vAlign w:val="center"/>
          </w:tcPr>
          <w:p>
            <w:pPr>
              <w:jc w:val="center"/>
              <w:rPr>
                <w:rFonts w:ascii="宋体" w:hAnsi="宋体"/>
                <w:color w:val="auto"/>
                <w:szCs w:val="21"/>
                <w:highlight w:val="none"/>
              </w:rPr>
            </w:pPr>
            <w:r>
              <w:rPr>
                <w:rFonts w:hint="eastAsia" w:ascii="宋体" w:hAnsi="宋体"/>
                <w:color w:val="auto"/>
                <w:szCs w:val="21"/>
                <w:highlight w:val="none"/>
              </w:rPr>
              <w:t>工程</w:t>
            </w:r>
          </w:p>
          <w:p>
            <w:pPr>
              <w:jc w:val="center"/>
              <w:rPr>
                <w:rFonts w:ascii="宋体" w:hAnsi="宋体"/>
                <w:color w:val="auto"/>
                <w:szCs w:val="21"/>
                <w:highlight w:val="none"/>
              </w:rPr>
            </w:pPr>
            <w:r>
              <w:rPr>
                <w:rFonts w:hint="eastAsia" w:ascii="宋体" w:hAnsi="宋体"/>
                <w:color w:val="auto"/>
                <w:szCs w:val="21"/>
                <w:highlight w:val="none"/>
              </w:rPr>
              <w:t>概况</w:t>
            </w:r>
          </w:p>
        </w:tc>
        <w:tc>
          <w:tcPr>
            <w:tcW w:w="943" w:type="dxa"/>
            <w:gridSpan w:val="2"/>
            <w:vMerge w:val="restart"/>
            <w:vAlign w:val="center"/>
          </w:tcPr>
          <w:p>
            <w:pPr>
              <w:jc w:val="center"/>
              <w:rPr>
                <w:rFonts w:ascii="宋体" w:hAnsi="宋体"/>
                <w:color w:val="auto"/>
                <w:szCs w:val="21"/>
                <w:highlight w:val="none"/>
              </w:rPr>
            </w:pPr>
            <w:r>
              <w:rPr>
                <w:rFonts w:hint="eastAsia"/>
                <w:color w:val="auto"/>
                <w:szCs w:val="44"/>
                <w:highlight w:val="none"/>
                <w:lang w:val="en-US" w:eastAsia="zh-CN"/>
              </w:rPr>
              <w:t xml:space="preserve">  </w:t>
            </w:r>
            <w:r>
              <w:rPr>
                <w:rFonts w:hint="eastAsia" w:ascii="宋体" w:hAnsi="宋体"/>
                <w:bCs/>
                <w:color w:val="auto"/>
                <w:szCs w:val="21"/>
                <w:highlight w:val="none"/>
              </w:rPr>
              <w:t>分</w:t>
            </w: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snapToGrid w:val="0"/>
              <w:jc w:val="center"/>
              <w:rPr>
                <w:rFonts w:ascii="宋体" w:hAnsi="宋体" w:cs="宋体"/>
                <w:color w:val="auto"/>
                <w:szCs w:val="21"/>
                <w:highlight w:val="none"/>
              </w:rPr>
            </w:pPr>
          </w:p>
        </w:tc>
        <w:tc>
          <w:tcPr>
            <w:tcW w:w="903" w:type="dxa"/>
            <w:vMerge w:val="continue"/>
            <w:vAlign w:val="center"/>
          </w:tcPr>
          <w:p>
            <w:pPr>
              <w:snapToGrid w:val="0"/>
              <w:jc w:val="center"/>
              <w:rPr>
                <w:rFonts w:ascii="宋体" w:hAnsi="宋体" w:cs="宋体"/>
                <w:color w:val="auto"/>
                <w:szCs w:val="21"/>
                <w:highlight w:val="none"/>
              </w:rPr>
            </w:pPr>
          </w:p>
        </w:tc>
        <w:tc>
          <w:tcPr>
            <w:tcW w:w="943" w:type="dxa"/>
            <w:gridSpan w:val="2"/>
            <w:vMerge w:val="continue"/>
            <w:vAlign w:val="center"/>
          </w:tcPr>
          <w:p>
            <w:pPr>
              <w:snapToGrid w:val="0"/>
              <w:jc w:val="center"/>
              <w:rPr>
                <w:rFonts w:ascii="宋体" w:hAnsi="宋体" w:cs="宋体"/>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snapToGrid w:val="0"/>
              <w:jc w:val="center"/>
              <w:rPr>
                <w:rFonts w:ascii="宋体" w:hAnsi="宋体" w:cs="宋体"/>
                <w:color w:val="auto"/>
                <w:szCs w:val="21"/>
                <w:highlight w:val="none"/>
              </w:rPr>
            </w:pPr>
          </w:p>
        </w:tc>
        <w:tc>
          <w:tcPr>
            <w:tcW w:w="903" w:type="dxa"/>
            <w:vMerge w:val="continue"/>
            <w:vAlign w:val="center"/>
          </w:tcPr>
          <w:p>
            <w:pPr>
              <w:snapToGrid w:val="0"/>
              <w:jc w:val="center"/>
              <w:rPr>
                <w:rFonts w:ascii="宋体" w:hAnsi="宋体" w:cs="宋体"/>
                <w:color w:val="auto"/>
                <w:szCs w:val="21"/>
                <w:highlight w:val="none"/>
              </w:rPr>
            </w:pPr>
          </w:p>
        </w:tc>
        <w:tc>
          <w:tcPr>
            <w:tcW w:w="943" w:type="dxa"/>
            <w:gridSpan w:val="2"/>
            <w:vMerge w:val="continue"/>
            <w:vAlign w:val="center"/>
          </w:tcPr>
          <w:p>
            <w:pPr>
              <w:snapToGrid w:val="0"/>
              <w:jc w:val="center"/>
              <w:rPr>
                <w:rFonts w:ascii="宋体" w:hAnsi="宋体" w:cs="宋体"/>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21"/>
                <w:highlight w:val="none"/>
              </w:rPr>
            </w:pPr>
          </w:p>
        </w:tc>
        <w:tc>
          <w:tcPr>
            <w:tcW w:w="903" w:type="dxa"/>
            <w:vMerge w:val="restart"/>
            <w:vAlign w:val="center"/>
          </w:tcPr>
          <w:p>
            <w:pPr>
              <w:jc w:val="center"/>
              <w:rPr>
                <w:rFonts w:ascii="宋体" w:hAnsi="宋体"/>
                <w:color w:val="auto"/>
                <w:szCs w:val="21"/>
                <w:highlight w:val="none"/>
              </w:rPr>
            </w:pPr>
            <w:r>
              <w:rPr>
                <w:rFonts w:hint="eastAsia" w:ascii="宋体" w:hAnsi="宋体"/>
                <w:color w:val="auto"/>
                <w:szCs w:val="21"/>
                <w:highlight w:val="none"/>
              </w:rPr>
              <w:t>施工</w:t>
            </w:r>
          </w:p>
          <w:p>
            <w:pPr>
              <w:jc w:val="center"/>
              <w:rPr>
                <w:rFonts w:ascii="宋体" w:hAnsi="宋体"/>
                <w:color w:val="auto"/>
                <w:szCs w:val="21"/>
                <w:highlight w:val="none"/>
              </w:rPr>
            </w:pPr>
            <w:r>
              <w:rPr>
                <w:rFonts w:hint="eastAsia" w:ascii="宋体" w:hAnsi="宋体"/>
                <w:color w:val="auto"/>
                <w:szCs w:val="21"/>
                <w:highlight w:val="none"/>
              </w:rPr>
              <w:t>部署</w:t>
            </w:r>
          </w:p>
        </w:tc>
        <w:tc>
          <w:tcPr>
            <w:tcW w:w="943" w:type="dxa"/>
            <w:gridSpan w:val="2"/>
            <w:vMerge w:val="restart"/>
            <w:vAlign w:val="center"/>
          </w:tcPr>
          <w:p>
            <w:pPr>
              <w:jc w:val="center"/>
              <w:rPr>
                <w:rFonts w:ascii="宋体" w:hAnsi="宋体"/>
                <w:bCs/>
                <w:color w:val="auto"/>
                <w:szCs w:val="21"/>
                <w:highlight w:val="none"/>
              </w:rPr>
            </w:pPr>
            <w:r>
              <w:rPr>
                <w:rFonts w:hint="eastAsia"/>
                <w:bCs/>
                <w:color w:val="auto"/>
                <w:szCs w:val="21"/>
                <w:highlight w:val="none"/>
                <w:lang w:val="en-US" w:eastAsia="zh-CN"/>
              </w:rPr>
              <w:t xml:space="preserve">  </w:t>
            </w:r>
            <w:r>
              <w:rPr>
                <w:rFonts w:hint="eastAsia" w:ascii="宋体" w:hAnsi="宋体"/>
                <w:bCs/>
                <w:color w:val="auto"/>
                <w:szCs w:val="21"/>
                <w:highlight w:val="none"/>
              </w:rPr>
              <w:t>分</w:t>
            </w: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snapToGrid w:val="0"/>
              <w:jc w:val="center"/>
              <w:rPr>
                <w:rFonts w:ascii="宋体" w:hAnsi="宋体" w:cs="宋体"/>
                <w:color w:val="auto"/>
                <w:szCs w:val="21"/>
                <w:highlight w:val="none"/>
              </w:rPr>
            </w:pPr>
          </w:p>
        </w:tc>
        <w:tc>
          <w:tcPr>
            <w:tcW w:w="903" w:type="dxa"/>
            <w:vMerge w:val="continue"/>
            <w:vAlign w:val="center"/>
          </w:tcPr>
          <w:p>
            <w:pPr>
              <w:snapToGrid w:val="0"/>
              <w:jc w:val="center"/>
              <w:rPr>
                <w:rFonts w:ascii="宋体" w:hAnsi="宋体" w:cs="宋体"/>
                <w:color w:val="auto"/>
                <w:szCs w:val="21"/>
                <w:highlight w:val="none"/>
              </w:rPr>
            </w:pPr>
          </w:p>
        </w:tc>
        <w:tc>
          <w:tcPr>
            <w:tcW w:w="943" w:type="dxa"/>
            <w:gridSpan w:val="2"/>
            <w:vMerge w:val="continue"/>
            <w:vAlign w:val="center"/>
          </w:tcPr>
          <w:p>
            <w:pPr>
              <w:snapToGrid w:val="0"/>
              <w:jc w:val="center"/>
              <w:rPr>
                <w:rFonts w:ascii="宋体" w:hAnsi="宋体" w:cs="宋体"/>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snapToGrid w:val="0"/>
              <w:jc w:val="center"/>
              <w:rPr>
                <w:rFonts w:ascii="宋体" w:hAnsi="宋体" w:cs="宋体"/>
                <w:color w:val="auto"/>
                <w:szCs w:val="21"/>
                <w:highlight w:val="none"/>
              </w:rPr>
            </w:pPr>
          </w:p>
        </w:tc>
        <w:tc>
          <w:tcPr>
            <w:tcW w:w="903" w:type="dxa"/>
            <w:vMerge w:val="continue"/>
            <w:vAlign w:val="center"/>
          </w:tcPr>
          <w:p>
            <w:pPr>
              <w:snapToGrid w:val="0"/>
              <w:jc w:val="center"/>
              <w:rPr>
                <w:rFonts w:ascii="宋体" w:hAnsi="宋体" w:cs="宋体"/>
                <w:color w:val="auto"/>
                <w:szCs w:val="21"/>
                <w:highlight w:val="none"/>
              </w:rPr>
            </w:pPr>
          </w:p>
        </w:tc>
        <w:tc>
          <w:tcPr>
            <w:tcW w:w="943" w:type="dxa"/>
            <w:gridSpan w:val="2"/>
            <w:vMerge w:val="continue"/>
            <w:vAlign w:val="center"/>
          </w:tcPr>
          <w:p>
            <w:pPr>
              <w:snapToGrid w:val="0"/>
              <w:jc w:val="center"/>
              <w:rPr>
                <w:rFonts w:ascii="宋体" w:hAnsi="宋体" w:cs="宋体"/>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snapToGrid w:val="0"/>
              <w:jc w:val="center"/>
              <w:rPr>
                <w:rFonts w:ascii="宋体" w:hAnsi="宋体" w:cs="宋体"/>
                <w:color w:val="auto"/>
                <w:szCs w:val="21"/>
                <w:highlight w:val="none"/>
              </w:rPr>
            </w:pPr>
          </w:p>
        </w:tc>
        <w:tc>
          <w:tcPr>
            <w:tcW w:w="903" w:type="dxa"/>
            <w:vMerge w:val="continue"/>
            <w:vAlign w:val="center"/>
          </w:tcPr>
          <w:p>
            <w:pPr>
              <w:snapToGrid w:val="0"/>
              <w:jc w:val="center"/>
              <w:rPr>
                <w:rFonts w:ascii="宋体" w:hAnsi="宋体" w:cs="宋体"/>
                <w:color w:val="auto"/>
                <w:szCs w:val="21"/>
                <w:highlight w:val="none"/>
              </w:rPr>
            </w:pPr>
          </w:p>
        </w:tc>
        <w:tc>
          <w:tcPr>
            <w:tcW w:w="943" w:type="dxa"/>
            <w:gridSpan w:val="2"/>
            <w:vMerge w:val="continue"/>
            <w:vAlign w:val="center"/>
          </w:tcPr>
          <w:p>
            <w:pPr>
              <w:snapToGrid w:val="0"/>
              <w:jc w:val="center"/>
              <w:rPr>
                <w:rFonts w:ascii="宋体" w:hAnsi="宋体" w:cs="宋体"/>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restart"/>
            <w:vAlign w:val="center"/>
          </w:tcPr>
          <w:p>
            <w:pPr>
              <w:jc w:val="center"/>
              <w:rPr>
                <w:rFonts w:ascii="宋体" w:hAnsi="宋体"/>
                <w:color w:val="auto"/>
                <w:szCs w:val="44"/>
                <w:highlight w:val="none"/>
              </w:rPr>
            </w:pPr>
            <w:r>
              <w:rPr>
                <w:rFonts w:hint="eastAsia" w:ascii="宋体" w:hAnsi="宋体"/>
                <w:color w:val="auto"/>
                <w:szCs w:val="21"/>
                <w:highlight w:val="none"/>
              </w:rPr>
              <w:t>资源配置计划</w:t>
            </w:r>
          </w:p>
        </w:tc>
        <w:tc>
          <w:tcPr>
            <w:tcW w:w="943" w:type="dxa"/>
            <w:gridSpan w:val="2"/>
            <w:vMerge w:val="restart"/>
            <w:vAlign w:val="center"/>
          </w:tcPr>
          <w:p>
            <w:pPr>
              <w:jc w:val="center"/>
              <w:rPr>
                <w:rFonts w:ascii="宋体" w:hAnsi="宋体"/>
                <w:bCs/>
                <w:color w:val="auto"/>
                <w:szCs w:val="21"/>
                <w:highlight w:val="none"/>
              </w:rPr>
            </w:pPr>
            <w:r>
              <w:rPr>
                <w:rFonts w:hint="eastAsia"/>
                <w:bCs/>
                <w:color w:val="auto"/>
                <w:szCs w:val="21"/>
                <w:highlight w:val="none"/>
                <w:lang w:val="en-US" w:eastAsia="zh-CN"/>
              </w:rPr>
              <w:t xml:space="preserve">  </w:t>
            </w:r>
            <w:r>
              <w:rPr>
                <w:rFonts w:hint="eastAsia" w:ascii="宋体" w:hAnsi="宋体"/>
                <w:bCs/>
                <w:color w:val="auto"/>
                <w:szCs w:val="21"/>
                <w:highlight w:val="none"/>
              </w:rPr>
              <w:t>分</w:t>
            </w: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21"/>
                <w:highlight w:val="none"/>
              </w:rPr>
            </w:pPr>
          </w:p>
        </w:tc>
        <w:tc>
          <w:tcPr>
            <w:tcW w:w="903" w:type="dxa"/>
            <w:vMerge w:val="restart"/>
            <w:vAlign w:val="center"/>
          </w:tcPr>
          <w:p>
            <w:pPr>
              <w:jc w:val="center"/>
              <w:rPr>
                <w:rFonts w:ascii="宋体" w:hAnsi="宋体"/>
                <w:color w:val="auto"/>
                <w:szCs w:val="21"/>
                <w:highlight w:val="none"/>
              </w:rPr>
            </w:pPr>
            <w:r>
              <w:rPr>
                <w:rFonts w:hint="eastAsia" w:ascii="宋体" w:hAnsi="宋体"/>
                <w:color w:val="auto"/>
                <w:szCs w:val="21"/>
                <w:highlight w:val="none"/>
              </w:rPr>
              <w:t>主要施工方法与技术措施</w:t>
            </w:r>
          </w:p>
        </w:tc>
        <w:tc>
          <w:tcPr>
            <w:tcW w:w="943" w:type="dxa"/>
            <w:gridSpan w:val="2"/>
            <w:vMerge w:val="restart"/>
            <w:vAlign w:val="center"/>
          </w:tcPr>
          <w:p>
            <w:pPr>
              <w:jc w:val="center"/>
              <w:rPr>
                <w:rFonts w:ascii="宋体" w:hAnsi="宋体"/>
                <w:color w:val="auto"/>
                <w:szCs w:val="21"/>
                <w:highlight w:val="none"/>
              </w:rPr>
            </w:pPr>
            <w:r>
              <w:rPr>
                <w:rFonts w:hint="eastAsia"/>
                <w:bCs/>
                <w:color w:val="auto"/>
                <w:szCs w:val="21"/>
                <w:highlight w:val="none"/>
                <w:lang w:val="en-US" w:eastAsia="zh-CN"/>
              </w:rPr>
              <w:t xml:space="preserve">  </w:t>
            </w:r>
            <w:r>
              <w:rPr>
                <w:rFonts w:hint="eastAsia" w:ascii="宋体" w:hAnsi="宋体"/>
                <w:bCs/>
                <w:color w:val="auto"/>
                <w:szCs w:val="21"/>
                <w:highlight w:val="none"/>
              </w:rPr>
              <w:t>分</w:t>
            </w: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21"/>
                <w:highlight w:val="none"/>
              </w:rPr>
            </w:pPr>
          </w:p>
        </w:tc>
        <w:tc>
          <w:tcPr>
            <w:tcW w:w="903" w:type="dxa"/>
            <w:vMerge w:val="restart"/>
            <w:vAlign w:val="center"/>
          </w:tcPr>
          <w:p>
            <w:pPr>
              <w:jc w:val="center"/>
              <w:rPr>
                <w:rFonts w:ascii="宋体" w:hAnsi="宋体"/>
                <w:color w:val="auto"/>
                <w:szCs w:val="21"/>
                <w:highlight w:val="none"/>
              </w:rPr>
            </w:pPr>
            <w:r>
              <w:rPr>
                <w:rFonts w:hint="eastAsia" w:ascii="宋体" w:hAnsi="宋体"/>
                <w:color w:val="auto"/>
                <w:szCs w:val="21"/>
                <w:highlight w:val="none"/>
              </w:rPr>
              <w:t>施工进度计划与措施</w:t>
            </w:r>
          </w:p>
        </w:tc>
        <w:tc>
          <w:tcPr>
            <w:tcW w:w="943" w:type="dxa"/>
            <w:gridSpan w:val="2"/>
            <w:vMerge w:val="restart"/>
            <w:vAlign w:val="center"/>
          </w:tcPr>
          <w:p>
            <w:pPr>
              <w:jc w:val="center"/>
              <w:rPr>
                <w:rFonts w:ascii="宋体" w:hAnsi="宋体"/>
                <w:color w:val="auto"/>
                <w:szCs w:val="21"/>
                <w:highlight w:val="none"/>
              </w:rPr>
            </w:pPr>
            <w:r>
              <w:rPr>
                <w:rFonts w:hint="eastAsia"/>
                <w:bCs/>
                <w:color w:val="auto"/>
                <w:szCs w:val="21"/>
                <w:highlight w:val="none"/>
                <w:lang w:val="en-US" w:eastAsia="zh-CN"/>
              </w:rPr>
              <w:t xml:space="preserve">  </w:t>
            </w:r>
            <w:r>
              <w:rPr>
                <w:rFonts w:hint="eastAsia" w:ascii="宋体" w:hAnsi="宋体"/>
                <w:bCs/>
                <w:color w:val="auto"/>
                <w:szCs w:val="21"/>
                <w:highlight w:val="none"/>
              </w:rPr>
              <w:t>分</w:t>
            </w: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rPr>
                <w:rFonts w:ascii="宋体" w:hAnsi="宋体"/>
                <w:bCs/>
                <w:color w:val="auto"/>
                <w:szCs w:val="21"/>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21"/>
                <w:highlight w:val="none"/>
              </w:rPr>
            </w:pPr>
          </w:p>
        </w:tc>
        <w:tc>
          <w:tcPr>
            <w:tcW w:w="903" w:type="dxa"/>
            <w:vMerge w:val="restart"/>
            <w:vAlign w:val="center"/>
          </w:tcPr>
          <w:p>
            <w:pPr>
              <w:jc w:val="center"/>
              <w:rPr>
                <w:rFonts w:ascii="宋体" w:hAnsi="宋体"/>
                <w:color w:val="auto"/>
                <w:szCs w:val="21"/>
                <w:highlight w:val="none"/>
              </w:rPr>
            </w:pPr>
            <w:r>
              <w:rPr>
                <w:rFonts w:hint="eastAsia" w:ascii="宋体" w:hAnsi="宋体"/>
                <w:color w:val="auto"/>
                <w:szCs w:val="21"/>
                <w:highlight w:val="none"/>
              </w:rPr>
              <w:t>施工现场平面布置</w:t>
            </w:r>
          </w:p>
        </w:tc>
        <w:tc>
          <w:tcPr>
            <w:tcW w:w="943" w:type="dxa"/>
            <w:gridSpan w:val="2"/>
            <w:vMerge w:val="restart"/>
            <w:vAlign w:val="center"/>
          </w:tcPr>
          <w:p>
            <w:pPr>
              <w:jc w:val="center"/>
              <w:rPr>
                <w:rFonts w:ascii="宋体" w:hAnsi="宋体"/>
                <w:color w:val="auto"/>
                <w:szCs w:val="21"/>
                <w:highlight w:val="none"/>
              </w:rPr>
            </w:pPr>
            <w:r>
              <w:rPr>
                <w:rFonts w:hint="eastAsia"/>
                <w:bCs/>
                <w:color w:val="auto"/>
                <w:szCs w:val="21"/>
                <w:highlight w:val="none"/>
                <w:lang w:val="en-US" w:eastAsia="zh-CN"/>
              </w:rPr>
              <w:t xml:space="preserve">  </w:t>
            </w:r>
            <w:r>
              <w:rPr>
                <w:rFonts w:hint="eastAsia" w:ascii="宋体" w:hAnsi="宋体"/>
                <w:bCs/>
                <w:color w:val="auto"/>
                <w:szCs w:val="21"/>
                <w:highlight w:val="none"/>
              </w:rPr>
              <w:t>分</w:t>
            </w: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21"/>
                <w:highlight w:val="none"/>
              </w:rPr>
            </w:pPr>
          </w:p>
        </w:tc>
        <w:tc>
          <w:tcPr>
            <w:tcW w:w="903" w:type="dxa"/>
            <w:vMerge w:val="restart"/>
            <w:vAlign w:val="center"/>
          </w:tcPr>
          <w:p>
            <w:pPr>
              <w:jc w:val="center"/>
              <w:rPr>
                <w:rFonts w:ascii="宋体" w:hAnsi="宋体"/>
                <w:color w:val="auto"/>
                <w:szCs w:val="21"/>
                <w:highlight w:val="none"/>
              </w:rPr>
            </w:pPr>
            <w:r>
              <w:rPr>
                <w:rFonts w:hint="eastAsia" w:ascii="宋体" w:hAnsi="宋体"/>
                <w:color w:val="auto"/>
                <w:szCs w:val="21"/>
                <w:highlight w:val="none"/>
              </w:rPr>
              <w:t>主要管理体系与措施</w:t>
            </w:r>
          </w:p>
        </w:tc>
        <w:tc>
          <w:tcPr>
            <w:tcW w:w="943" w:type="dxa"/>
            <w:gridSpan w:val="2"/>
            <w:vMerge w:val="restart"/>
            <w:vAlign w:val="center"/>
          </w:tcPr>
          <w:p>
            <w:pPr>
              <w:jc w:val="center"/>
              <w:rPr>
                <w:rFonts w:ascii="宋体" w:hAnsi="宋体"/>
                <w:color w:val="auto"/>
                <w:szCs w:val="21"/>
                <w:highlight w:val="none"/>
              </w:rPr>
            </w:pPr>
            <w:r>
              <w:rPr>
                <w:rFonts w:hint="eastAsia"/>
                <w:bCs/>
                <w:color w:val="auto"/>
                <w:szCs w:val="21"/>
                <w:highlight w:val="none"/>
                <w:lang w:val="en-US" w:eastAsia="zh-CN"/>
              </w:rPr>
              <w:t xml:space="preserve">  </w:t>
            </w:r>
            <w:r>
              <w:rPr>
                <w:rFonts w:hint="eastAsia" w:ascii="宋体" w:hAnsi="宋体"/>
                <w:bCs/>
                <w:color w:val="auto"/>
                <w:szCs w:val="21"/>
                <w:highlight w:val="none"/>
              </w:rPr>
              <w:t>分</w:t>
            </w: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snapToGrid w:val="0"/>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adjustRightInd w:val="0"/>
              <w:snapToGrid w:val="0"/>
              <w:jc w:val="center"/>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adjustRightInd w:val="0"/>
              <w:snapToGrid w:val="0"/>
              <w:jc w:val="center"/>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restart"/>
            <w:vAlign w:val="center"/>
          </w:tcPr>
          <w:p>
            <w:pPr>
              <w:jc w:val="center"/>
              <w:rPr>
                <w:rFonts w:hint="default" w:ascii="宋体" w:hAnsi="宋体" w:eastAsia="宋体"/>
                <w:color w:val="auto"/>
                <w:szCs w:val="44"/>
                <w:highlight w:val="none"/>
                <w:lang w:val="en-US" w:eastAsia="zh-CN"/>
              </w:rPr>
            </w:pPr>
            <w:r>
              <w:rPr>
                <w:rFonts w:hint="eastAsia"/>
                <w:color w:val="auto"/>
                <w:highlight w:val="none"/>
                <w:lang w:val="en-US" w:eastAsia="zh-CN"/>
              </w:rPr>
              <w:t>......</w:t>
            </w:r>
          </w:p>
        </w:tc>
        <w:tc>
          <w:tcPr>
            <w:tcW w:w="943" w:type="dxa"/>
            <w:gridSpan w:val="2"/>
            <w:vMerge w:val="restart"/>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adjustRightInd w:val="0"/>
              <w:snapToGrid w:val="0"/>
              <w:jc w:val="center"/>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adjustRightInd w:val="0"/>
              <w:snapToGrid w:val="0"/>
              <w:jc w:val="center"/>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5" w:type="dxa"/>
            <w:vMerge w:val="continue"/>
            <w:vAlign w:val="center"/>
          </w:tcPr>
          <w:p>
            <w:pPr>
              <w:adjustRightInd w:val="0"/>
              <w:snapToGrid w:val="0"/>
              <w:jc w:val="center"/>
              <w:rPr>
                <w:rFonts w:ascii="宋体" w:hAnsi="宋体" w:cs="宋体"/>
                <w:color w:val="auto"/>
                <w:szCs w:val="21"/>
                <w:highlight w:val="none"/>
              </w:rPr>
            </w:pPr>
          </w:p>
        </w:tc>
        <w:tc>
          <w:tcPr>
            <w:tcW w:w="903" w:type="dxa"/>
            <w:gridSpan w:val="2"/>
            <w:vMerge w:val="continue"/>
            <w:vAlign w:val="center"/>
          </w:tcPr>
          <w:p>
            <w:pPr>
              <w:jc w:val="center"/>
              <w:rPr>
                <w:rFonts w:ascii="宋体" w:hAnsi="宋体"/>
                <w:color w:val="auto"/>
                <w:szCs w:val="44"/>
                <w:highlight w:val="none"/>
              </w:rPr>
            </w:pPr>
          </w:p>
        </w:tc>
        <w:tc>
          <w:tcPr>
            <w:tcW w:w="903" w:type="dxa"/>
            <w:vMerge w:val="continue"/>
            <w:vAlign w:val="center"/>
          </w:tcPr>
          <w:p>
            <w:pPr>
              <w:jc w:val="center"/>
              <w:rPr>
                <w:rFonts w:ascii="宋体" w:hAnsi="宋体"/>
                <w:color w:val="auto"/>
                <w:szCs w:val="44"/>
                <w:highlight w:val="none"/>
              </w:rPr>
            </w:pPr>
          </w:p>
        </w:tc>
        <w:tc>
          <w:tcPr>
            <w:tcW w:w="943" w:type="dxa"/>
            <w:gridSpan w:val="2"/>
            <w:vMerge w:val="continue"/>
            <w:vAlign w:val="center"/>
          </w:tcPr>
          <w:p>
            <w:pPr>
              <w:jc w:val="center"/>
              <w:rPr>
                <w:rFonts w:ascii="宋体" w:hAnsi="宋体"/>
                <w:color w:val="auto"/>
                <w:szCs w:val="44"/>
                <w:highlight w:val="none"/>
              </w:rPr>
            </w:pPr>
          </w:p>
        </w:tc>
        <w:tc>
          <w:tcPr>
            <w:tcW w:w="5404" w:type="dxa"/>
            <w:vAlign w:val="center"/>
          </w:tcPr>
          <w:p>
            <w:pPr>
              <w:rPr>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825" w:type="dxa"/>
            <w:vMerge w:val="restart"/>
            <w:vAlign w:val="center"/>
          </w:tcPr>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rPr>
              <w:t>3</w:t>
            </w:r>
            <w:r>
              <w:rPr>
                <w:rFonts w:hint="eastAsia" w:ascii="宋体" w:hAnsi="宋体" w:cs="宋体"/>
                <w:color w:val="auto"/>
                <w:szCs w:val="21"/>
                <w:highlight w:val="none"/>
              </w:rPr>
              <w:t>）</w:t>
            </w:r>
          </w:p>
          <w:p>
            <w:pPr>
              <w:adjustRightInd w:val="0"/>
              <w:snapToGrid w:val="0"/>
              <w:jc w:val="center"/>
              <w:rPr>
                <w:rFonts w:ascii="宋体" w:hAnsi="宋体" w:cs="宋体"/>
                <w:color w:val="auto"/>
                <w:szCs w:val="21"/>
                <w:highlight w:val="none"/>
              </w:rPr>
            </w:pPr>
          </w:p>
          <w:p>
            <w:pPr>
              <w:adjustRightInd w:val="0"/>
              <w:snapToGrid w:val="0"/>
              <w:jc w:val="center"/>
              <w:rPr>
                <w:rFonts w:ascii="宋体" w:hAnsi="宋体" w:cs="宋体"/>
                <w:color w:val="auto"/>
                <w:szCs w:val="21"/>
                <w:highlight w:val="none"/>
              </w:rPr>
            </w:pPr>
          </w:p>
        </w:tc>
        <w:tc>
          <w:tcPr>
            <w:tcW w:w="903" w:type="dxa"/>
            <w:gridSpan w:val="2"/>
            <w:vMerge w:val="restart"/>
            <w:vAlign w:val="center"/>
          </w:tcPr>
          <w:p>
            <w:pPr>
              <w:adjustRightInd w:val="0"/>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项目管理机构及其他</w:t>
            </w:r>
            <w:r>
              <w:rPr>
                <w:rFonts w:hint="eastAsia" w:cs="宋体"/>
                <w:color w:val="auto"/>
                <w:szCs w:val="21"/>
                <w:highlight w:val="none"/>
              </w:rPr>
              <w:t>100</w:t>
            </w:r>
            <w:r>
              <w:rPr>
                <w:rFonts w:hint="eastAsia" w:ascii="宋体" w:hAnsi="宋体" w:cs="宋体"/>
                <w:color w:val="auto"/>
                <w:szCs w:val="21"/>
                <w:highlight w:val="none"/>
              </w:rPr>
              <w:t>分</w:t>
            </w:r>
          </w:p>
        </w:tc>
        <w:tc>
          <w:tcPr>
            <w:tcW w:w="903" w:type="dxa"/>
            <w:vAlign w:val="center"/>
          </w:tcPr>
          <w:p>
            <w:pPr>
              <w:adjustRightInd w:val="0"/>
              <w:snapToGrid w:val="0"/>
              <w:spacing w:line="300" w:lineRule="auto"/>
              <w:jc w:val="both"/>
              <w:rPr>
                <w:rFonts w:ascii="宋体" w:hAnsi="宋体" w:cs="宋体"/>
                <w:color w:val="auto"/>
                <w:szCs w:val="21"/>
                <w:highlight w:val="none"/>
              </w:rPr>
            </w:pPr>
            <w:r>
              <w:rPr>
                <w:rFonts w:hint="eastAsia" w:ascii="宋体" w:hAnsi="宋体" w:cs="宋体"/>
                <w:color w:val="auto"/>
                <w:szCs w:val="21"/>
                <w:highlight w:val="none"/>
              </w:rPr>
              <w:t>项目负责人的任职资格与业绩</w:t>
            </w:r>
          </w:p>
        </w:tc>
        <w:tc>
          <w:tcPr>
            <w:tcW w:w="933" w:type="dxa"/>
            <w:vAlign w:val="center"/>
          </w:tcPr>
          <w:p>
            <w:pPr>
              <w:adjustRightInd w:val="0"/>
              <w:snapToGrid w:val="0"/>
              <w:spacing w:line="300" w:lineRule="auto"/>
              <w:jc w:val="center"/>
              <w:rPr>
                <w:rFonts w:ascii="宋体" w:hAnsi="宋体" w:cs="宋体"/>
                <w:color w:val="auto"/>
                <w:szCs w:val="21"/>
                <w:highlight w:val="none"/>
              </w:rPr>
            </w:pPr>
            <w:r>
              <w:rPr>
                <w:rFonts w:hint="eastAsia" w:cs="宋体"/>
                <w:color w:val="auto"/>
                <w:szCs w:val="21"/>
                <w:highlight w:val="none"/>
                <w:lang w:val="en-US" w:eastAsia="zh-CN"/>
              </w:rPr>
              <w:t xml:space="preserve">  </w:t>
            </w:r>
            <w:r>
              <w:rPr>
                <w:rFonts w:hint="eastAsia" w:ascii="宋体" w:hAnsi="宋体" w:cs="宋体"/>
                <w:color w:val="auto"/>
                <w:szCs w:val="21"/>
                <w:highlight w:val="none"/>
              </w:rPr>
              <w:t>分</w:t>
            </w:r>
          </w:p>
        </w:tc>
        <w:tc>
          <w:tcPr>
            <w:tcW w:w="5414" w:type="dxa"/>
            <w:gridSpan w:val="2"/>
            <w:vAlign w:val="center"/>
          </w:tcPr>
          <w:p>
            <w:pPr>
              <w:adjustRightInd w:val="0"/>
              <w:snapToGrid w:val="0"/>
              <w:spacing w:line="300" w:lineRule="auto"/>
              <w:ind w:firstLine="315" w:firstLineChars="15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825" w:type="dxa"/>
            <w:vMerge w:val="continue"/>
            <w:vAlign w:val="center"/>
          </w:tcPr>
          <w:p>
            <w:pPr>
              <w:adjustRightInd w:val="0"/>
              <w:snapToGrid w:val="0"/>
              <w:jc w:val="center"/>
              <w:rPr>
                <w:rFonts w:ascii="宋体" w:hAnsi="宋体" w:cs="宋体"/>
                <w:color w:val="auto"/>
                <w:szCs w:val="21"/>
                <w:highlight w:val="none"/>
              </w:rPr>
            </w:pPr>
          </w:p>
        </w:tc>
        <w:tc>
          <w:tcPr>
            <w:tcW w:w="903" w:type="dxa"/>
            <w:gridSpan w:val="2"/>
            <w:vMerge w:val="continue"/>
            <w:vAlign w:val="center"/>
          </w:tcPr>
          <w:p>
            <w:pPr>
              <w:adjustRightInd w:val="0"/>
              <w:snapToGrid w:val="0"/>
              <w:spacing w:line="300" w:lineRule="auto"/>
              <w:jc w:val="center"/>
              <w:rPr>
                <w:rFonts w:hint="eastAsia" w:ascii="宋体" w:hAnsi="宋体" w:cs="宋体"/>
                <w:color w:val="auto"/>
                <w:szCs w:val="21"/>
                <w:highlight w:val="none"/>
              </w:rPr>
            </w:pPr>
          </w:p>
        </w:tc>
        <w:tc>
          <w:tcPr>
            <w:tcW w:w="903" w:type="dxa"/>
            <w:vAlign w:val="center"/>
          </w:tcPr>
          <w:p>
            <w:pPr>
              <w:adjustRightInd w:val="0"/>
              <w:snapToGrid w:val="0"/>
              <w:spacing w:line="300" w:lineRule="auto"/>
              <w:jc w:val="center"/>
              <w:rPr>
                <w:rFonts w:hint="eastAsia" w:ascii="宋体" w:hAnsi="宋体" w:cs="宋体"/>
                <w:color w:val="auto"/>
                <w:szCs w:val="21"/>
                <w:highlight w:val="none"/>
              </w:rPr>
            </w:pPr>
            <w:r>
              <w:rPr>
                <w:rFonts w:hint="eastAsia" w:ascii="宋体" w:hAnsi="宋体" w:cs="宋体"/>
                <w:color w:val="auto"/>
                <w:szCs w:val="21"/>
                <w:highlight w:val="none"/>
              </w:rPr>
              <w:t>组织机构及主要管理人员</w:t>
            </w:r>
            <w:r>
              <w:rPr>
                <w:rStyle w:val="27"/>
                <w:rFonts w:hint="eastAsia" w:ascii="宋体" w:hAnsi="宋体" w:cs="宋体"/>
                <w:color w:val="auto"/>
                <w:szCs w:val="21"/>
                <w:highlight w:val="none"/>
              </w:rPr>
              <w:footnoteReference w:id="13"/>
            </w:r>
          </w:p>
        </w:tc>
        <w:tc>
          <w:tcPr>
            <w:tcW w:w="933" w:type="dxa"/>
            <w:vAlign w:val="center"/>
          </w:tcPr>
          <w:p>
            <w:pPr>
              <w:adjustRightInd w:val="0"/>
              <w:snapToGrid w:val="0"/>
              <w:spacing w:line="300" w:lineRule="auto"/>
              <w:jc w:val="center"/>
              <w:rPr>
                <w:rFonts w:hint="eastAsia" w:cs="宋体"/>
                <w:color w:val="auto"/>
                <w:szCs w:val="21"/>
                <w:highlight w:val="none"/>
                <w:lang w:val="en-US" w:eastAsia="zh-CN"/>
              </w:rPr>
            </w:pPr>
            <w:r>
              <w:rPr>
                <w:rFonts w:hint="eastAsia" w:cs="宋体"/>
                <w:color w:val="auto"/>
                <w:szCs w:val="21"/>
                <w:highlight w:val="none"/>
                <w:lang w:val="en-US" w:eastAsia="zh-CN"/>
              </w:rPr>
              <w:t xml:space="preserve">  </w:t>
            </w:r>
            <w:r>
              <w:rPr>
                <w:rFonts w:hint="eastAsia" w:ascii="宋体" w:hAnsi="宋体" w:cs="宋体"/>
                <w:color w:val="auto"/>
                <w:szCs w:val="21"/>
                <w:highlight w:val="none"/>
              </w:rPr>
              <w:t>分</w:t>
            </w:r>
          </w:p>
        </w:tc>
        <w:tc>
          <w:tcPr>
            <w:tcW w:w="5414" w:type="dxa"/>
            <w:gridSpan w:val="2"/>
            <w:vAlign w:val="center"/>
          </w:tcPr>
          <w:p>
            <w:pPr>
              <w:adjustRightInd w:val="0"/>
              <w:snapToGrid w:val="0"/>
              <w:spacing w:line="300" w:lineRule="auto"/>
              <w:ind w:firstLine="315" w:firstLineChars="150"/>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825" w:type="dxa"/>
            <w:vMerge w:val="continue"/>
            <w:vAlign w:val="center"/>
          </w:tcPr>
          <w:p>
            <w:pPr>
              <w:adjustRightInd w:val="0"/>
              <w:snapToGrid w:val="0"/>
              <w:jc w:val="center"/>
              <w:rPr>
                <w:rFonts w:ascii="宋体" w:hAnsi="宋体" w:cs="宋体"/>
                <w:color w:val="auto"/>
                <w:szCs w:val="21"/>
                <w:highlight w:val="none"/>
              </w:rPr>
            </w:pPr>
          </w:p>
        </w:tc>
        <w:tc>
          <w:tcPr>
            <w:tcW w:w="903" w:type="dxa"/>
            <w:gridSpan w:val="2"/>
            <w:vMerge w:val="continue"/>
            <w:vAlign w:val="center"/>
          </w:tcPr>
          <w:p>
            <w:pPr>
              <w:adjustRightInd w:val="0"/>
              <w:snapToGrid w:val="0"/>
              <w:spacing w:line="300" w:lineRule="auto"/>
              <w:jc w:val="center"/>
              <w:rPr>
                <w:rFonts w:hint="eastAsia" w:ascii="宋体" w:hAnsi="宋体" w:cs="宋体"/>
                <w:color w:val="auto"/>
                <w:szCs w:val="21"/>
                <w:highlight w:val="none"/>
              </w:rPr>
            </w:pPr>
          </w:p>
        </w:tc>
        <w:tc>
          <w:tcPr>
            <w:tcW w:w="903" w:type="dxa"/>
            <w:vAlign w:val="center"/>
          </w:tcPr>
          <w:p>
            <w:pPr>
              <w:spacing w:after="120" w:line="30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企业</w:t>
            </w:r>
            <w:r>
              <w:rPr>
                <w:rFonts w:hint="eastAsia" w:ascii="宋体" w:hAnsi="宋体" w:cs="宋体"/>
                <w:color w:val="auto"/>
                <w:szCs w:val="21"/>
                <w:highlight w:val="none"/>
              </w:rPr>
              <w:t>业绩</w:t>
            </w:r>
          </w:p>
        </w:tc>
        <w:tc>
          <w:tcPr>
            <w:tcW w:w="933" w:type="dxa"/>
            <w:vAlign w:val="center"/>
          </w:tcPr>
          <w:p>
            <w:pPr>
              <w:spacing w:after="120" w:line="300" w:lineRule="auto"/>
              <w:jc w:val="center"/>
              <w:rPr>
                <w:rFonts w:hint="eastAsia" w:ascii="宋体" w:hAnsi="宋体" w:eastAsia="宋体" w:cs="宋体"/>
                <w:color w:val="auto"/>
                <w:kern w:val="2"/>
                <w:sz w:val="21"/>
                <w:szCs w:val="21"/>
                <w:highlight w:val="none"/>
                <w:lang w:val="en-US" w:eastAsia="zh-CN" w:bidi="ar-SA"/>
              </w:rPr>
            </w:pPr>
            <w:r>
              <w:rPr>
                <w:rFonts w:hint="eastAsia" w:cs="宋体"/>
                <w:color w:val="auto"/>
                <w:szCs w:val="21"/>
                <w:highlight w:val="none"/>
                <w:lang w:val="en-US" w:eastAsia="zh-CN"/>
              </w:rPr>
              <w:t xml:space="preserve">  </w:t>
            </w:r>
            <w:r>
              <w:rPr>
                <w:rFonts w:hint="eastAsia" w:ascii="宋体" w:hAnsi="宋体" w:cs="宋体"/>
                <w:color w:val="auto"/>
                <w:szCs w:val="21"/>
                <w:highlight w:val="none"/>
              </w:rPr>
              <w:t>分</w:t>
            </w:r>
          </w:p>
        </w:tc>
        <w:tc>
          <w:tcPr>
            <w:tcW w:w="5414" w:type="dxa"/>
            <w:gridSpan w:val="2"/>
            <w:vAlign w:val="center"/>
          </w:tcPr>
          <w:p>
            <w:pPr>
              <w:spacing w:after="120"/>
              <w:jc w:val="left"/>
              <w:rPr>
                <w:rFonts w:hint="eastAsia" w:ascii="宋体" w:hAnsi="宋体" w:eastAsia="宋体" w:cs="宋体"/>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825" w:type="dxa"/>
            <w:vMerge w:val="continue"/>
            <w:vAlign w:val="center"/>
          </w:tcPr>
          <w:p>
            <w:pPr>
              <w:adjustRightInd w:val="0"/>
              <w:snapToGrid w:val="0"/>
              <w:jc w:val="center"/>
              <w:rPr>
                <w:rFonts w:ascii="宋体" w:hAnsi="宋体" w:cs="宋体"/>
                <w:color w:val="auto"/>
                <w:szCs w:val="21"/>
                <w:highlight w:val="none"/>
              </w:rPr>
            </w:pPr>
          </w:p>
        </w:tc>
        <w:tc>
          <w:tcPr>
            <w:tcW w:w="903" w:type="dxa"/>
            <w:gridSpan w:val="2"/>
            <w:vMerge w:val="continue"/>
            <w:vAlign w:val="center"/>
          </w:tcPr>
          <w:p>
            <w:pPr>
              <w:spacing w:after="120" w:line="300" w:lineRule="auto"/>
              <w:jc w:val="center"/>
              <w:rPr>
                <w:rFonts w:ascii="宋体" w:hAnsi="宋体" w:cs="宋体"/>
                <w:color w:val="auto"/>
                <w:szCs w:val="21"/>
                <w:highlight w:val="none"/>
              </w:rPr>
            </w:pPr>
          </w:p>
        </w:tc>
        <w:tc>
          <w:tcPr>
            <w:tcW w:w="903" w:type="dxa"/>
            <w:vAlign w:val="center"/>
          </w:tcPr>
          <w:p>
            <w:pPr>
              <w:spacing w:after="120" w:line="300" w:lineRule="auto"/>
              <w:jc w:val="center"/>
              <w:rPr>
                <w:rFonts w:hint="default" w:ascii="宋体" w:hAnsi="宋体" w:cs="宋体"/>
                <w:color w:val="auto"/>
                <w:szCs w:val="21"/>
                <w:highlight w:val="none"/>
                <w:lang w:val="en-US"/>
              </w:rPr>
            </w:pPr>
            <w:r>
              <w:rPr>
                <w:rFonts w:hint="eastAsia"/>
                <w:color w:val="auto"/>
                <w:highlight w:val="none"/>
                <w:lang w:val="en-US" w:eastAsia="zh-CN"/>
              </w:rPr>
              <w:t>......</w:t>
            </w:r>
          </w:p>
        </w:tc>
        <w:tc>
          <w:tcPr>
            <w:tcW w:w="933" w:type="dxa"/>
            <w:vAlign w:val="center"/>
          </w:tcPr>
          <w:p>
            <w:pPr>
              <w:spacing w:after="120" w:line="300" w:lineRule="auto"/>
              <w:jc w:val="center"/>
              <w:rPr>
                <w:rFonts w:ascii="宋体" w:hAnsi="宋体" w:cs="宋体"/>
                <w:color w:val="auto"/>
                <w:szCs w:val="21"/>
                <w:highlight w:val="none"/>
              </w:rPr>
            </w:pPr>
          </w:p>
        </w:tc>
        <w:tc>
          <w:tcPr>
            <w:tcW w:w="5414" w:type="dxa"/>
            <w:gridSpan w:val="2"/>
            <w:vAlign w:val="center"/>
          </w:tcPr>
          <w:p>
            <w:pPr>
              <w:spacing w:after="120"/>
              <w:ind w:firstLine="315" w:firstLineChars="150"/>
              <w:jc w:val="left"/>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825" w:type="dxa"/>
            <w:vAlign w:val="center"/>
          </w:tcPr>
          <w:p>
            <w:pPr>
              <w:adjustRightInd w:val="0"/>
              <w:snapToGrid w:val="0"/>
              <w:jc w:val="center"/>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2</w:t>
            </w:r>
            <w:r>
              <w:rPr>
                <w:rFonts w:hint="eastAsia" w:ascii="宋体" w:hAnsi="宋体" w:cs="宋体"/>
                <w:color w:val="auto"/>
                <w:szCs w:val="21"/>
                <w:highlight w:val="none"/>
              </w:rPr>
              <w:t>.</w:t>
            </w:r>
            <w:r>
              <w:rPr>
                <w:rFonts w:hint="eastAsia" w:cs="宋体"/>
                <w:color w:val="auto"/>
                <w:szCs w:val="21"/>
                <w:highlight w:val="none"/>
              </w:rPr>
              <w:t>4</w:t>
            </w:r>
            <w:r>
              <w:rPr>
                <w:rFonts w:hint="eastAsia" w:ascii="宋体" w:hAnsi="宋体" w:cs="宋体"/>
                <w:color w:val="auto"/>
                <w:szCs w:val="21"/>
                <w:highlight w:val="none"/>
              </w:rPr>
              <w:t>（</w:t>
            </w:r>
            <w:r>
              <w:rPr>
                <w:rFonts w:hint="eastAsia" w:cs="宋体"/>
                <w:color w:val="auto"/>
                <w:szCs w:val="21"/>
                <w:highlight w:val="none"/>
                <w:lang w:val="en-US" w:eastAsia="zh-CN"/>
              </w:rPr>
              <w:t>4</w:t>
            </w:r>
            <w:r>
              <w:rPr>
                <w:rFonts w:hint="eastAsia" w:ascii="宋体" w:hAnsi="宋体" w:cs="宋体"/>
                <w:color w:val="auto"/>
                <w:szCs w:val="21"/>
                <w:highlight w:val="none"/>
              </w:rPr>
              <w:t>）</w:t>
            </w:r>
          </w:p>
          <w:p>
            <w:pPr>
              <w:adjustRightInd w:val="0"/>
              <w:snapToGrid w:val="0"/>
              <w:jc w:val="center"/>
              <w:rPr>
                <w:rFonts w:ascii="宋体" w:hAnsi="宋体" w:cs="宋体"/>
                <w:color w:val="auto"/>
                <w:szCs w:val="21"/>
                <w:highlight w:val="none"/>
              </w:rPr>
            </w:pPr>
          </w:p>
        </w:tc>
        <w:tc>
          <w:tcPr>
            <w:tcW w:w="903" w:type="dxa"/>
            <w:gridSpan w:val="2"/>
            <w:vAlign w:val="center"/>
          </w:tcPr>
          <w:p>
            <w:pPr>
              <w:adjustRightInd w:val="0"/>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综合信用评价</w:t>
            </w:r>
          </w:p>
        </w:tc>
        <w:tc>
          <w:tcPr>
            <w:tcW w:w="903" w:type="dxa"/>
            <w:vAlign w:val="center"/>
          </w:tcPr>
          <w:p>
            <w:pPr>
              <w:adjustRightInd w:val="0"/>
              <w:snapToGrid w:val="0"/>
              <w:spacing w:line="300" w:lineRule="auto"/>
              <w:jc w:val="center"/>
              <w:rPr>
                <w:rFonts w:ascii="宋体" w:hAnsi="宋体" w:cs="宋体"/>
                <w:color w:val="auto"/>
                <w:szCs w:val="21"/>
                <w:highlight w:val="none"/>
              </w:rPr>
            </w:pPr>
            <w:r>
              <w:rPr>
                <w:rFonts w:hint="eastAsia" w:ascii="宋体" w:hAnsi="宋体" w:cs="宋体"/>
                <w:color w:val="auto"/>
                <w:szCs w:val="21"/>
                <w:highlight w:val="none"/>
              </w:rPr>
              <w:t>信用分值</w:t>
            </w:r>
          </w:p>
        </w:tc>
        <w:tc>
          <w:tcPr>
            <w:tcW w:w="933" w:type="dxa"/>
            <w:vAlign w:val="center"/>
          </w:tcPr>
          <w:p>
            <w:pPr>
              <w:adjustRightInd w:val="0"/>
              <w:snapToGrid w:val="0"/>
              <w:spacing w:line="300" w:lineRule="auto"/>
              <w:jc w:val="center"/>
              <w:rPr>
                <w:rFonts w:ascii="宋体" w:hAnsi="宋体" w:cs="宋体"/>
                <w:color w:val="auto"/>
                <w:szCs w:val="21"/>
                <w:highlight w:val="none"/>
              </w:rPr>
            </w:pPr>
            <w:r>
              <w:rPr>
                <w:rFonts w:hint="eastAsia" w:cs="宋体"/>
                <w:color w:val="auto"/>
                <w:highlight w:val="none"/>
              </w:rPr>
              <w:t>100</w:t>
            </w:r>
            <w:r>
              <w:rPr>
                <w:rFonts w:hint="eastAsia" w:ascii="宋体" w:hAnsi="宋体" w:cs="宋体"/>
                <w:color w:val="auto"/>
                <w:highlight w:val="none"/>
              </w:rPr>
              <w:t>分</w:t>
            </w:r>
          </w:p>
        </w:tc>
        <w:tc>
          <w:tcPr>
            <w:tcW w:w="5414" w:type="dxa"/>
            <w:gridSpan w:val="2"/>
            <w:vAlign w:val="center"/>
          </w:tcPr>
          <w:p>
            <w:pPr>
              <w:rPr>
                <w:rFonts w:hint="eastAsia" w:ascii="宋体" w:hAnsi="宋体" w:eastAsia="宋体"/>
                <w:color w:val="auto"/>
                <w:highlight w:val="none"/>
              </w:rPr>
            </w:pPr>
            <w:r>
              <w:rPr>
                <w:rFonts w:hint="eastAsia" w:ascii="宋体" w:hAnsi="宋体" w:eastAsia="宋体"/>
                <w:color w:val="auto"/>
                <w:highlight w:val="none"/>
              </w:rPr>
              <w:t>本项目的企业诚信综合评价得分，以开标当天广州公共资源交易网站公布的信用评价2.0得分为准：</w:t>
            </w:r>
          </w:p>
          <w:p>
            <w:pPr>
              <w:rPr>
                <w:rFonts w:hint="eastAsia" w:ascii="宋体" w:hAnsi="宋体" w:eastAsia="宋体"/>
                <w:color w:val="auto"/>
                <w:highlight w:val="none"/>
              </w:rPr>
            </w:pPr>
          </w:p>
          <w:p>
            <w:pPr>
              <w:rPr>
                <w:rFonts w:hint="eastAsia" w:ascii="宋体" w:hAnsi="宋体" w:eastAsia="宋体"/>
                <w:color w:val="auto"/>
                <w:highlight w:val="none"/>
              </w:rPr>
            </w:pPr>
            <w:r>
              <w:rPr>
                <w:rFonts w:hint="eastAsia" w:ascii="宋体" w:hAnsi="宋体" w:eastAsia="宋体"/>
                <w:color w:val="auto"/>
                <w:highlight w:val="none"/>
              </w:rPr>
              <w:t>①同一专业组成联合体的投标人，其企业诚信综合评价排名得分以组成联合体各成员的企业诚信综合评价得分的算术平均值计算。</w:t>
            </w:r>
          </w:p>
          <w:p>
            <w:pPr>
              <w:rPr>
                <w:rFonts w:hint="eastAsia" w:ascii="宋体" w:hAnsi="宋体" w:eastAsia="宋体"/>
                <w:color w:val="auto"/>
                <w:highlight w:val="none"/>
              </w:rPr>
            </w:pPr>
            <w:r>
              <w:rPr>
                <w:rFonts w:hint="eastAsia" w:ascii="宋体" w:hAnsi="宋体" w:eastAsia="宋体"/>
                <w:color w:val="auto"/>
                <w:highlight w:val="none"/>
              </w:rPr>
              <w:t>②不同专业组成联合体的投标人，各投标人诚信综合评价分以最高投标限价中各专业工程的占比作为权重，将其各专业诚信综合评价分加权平均计算。</w:t>
            </w:r>
          </w:p>
          <w:p>
            <w:pPr>
              <w:adjustRightInd w:val="0"/>
              <w:snapToGrid w:val="0"/>
              <w:spacing w:line="300" w:lineRule="auto"/>
              <w:rPr>
                <w:color w:val="auto"/>
                <w:highlight w:val="none"/>
              </w:rPr>
            </w:pPr>
            <w:r>
              <w:rPr>
                <w:rFonts w:hint="eastAsia" w:ascii="宋体" w:hAnsi="宋体" w:eastAsia="宋体"/>
                <w:color w:val="auto"/>
                <w:highlight w:val="none"/>
              </w:rPr>
              <w:t>③已在广州公共资源交易平台办理企业信息登记的投标人，如未获广州公共资源交易信用评价2.0得分的，则该投标人得分为基准分，基准分值以广州公共资源信用评价相关规定为准。</w:t>
            </w:r>
          </w:p>
        </w:tc>
      </w:tr>
    </w:tbl>
    <w:p>
      <w:pPr>
        <w:spacing w:line="400" w:lineRule="exact"/>
        <w:ind w:firstLine="562" w:firstLineChars="200"/>
        <w:rPr>
          <w:b/>
          <w:bCs/>
          <w:color w:val="auto"/>
          <w:sz w:val="28"/>
          <w:szCs w:val="28"/>
          <w:highlight w:val="none"/>
        </w:rPr>
      </w:pPr>
      <w:bookmarkStart w:id="1346" w:name="_Toc28584"/>
      <w:bookmarkStart w:id="1347" w:name="_Toc5045"/>
      <w:bookmarkStart w:id="1348" w:name="_Toc28980"/>
      <w:bookmarkStart w:id="1349" w:name="_Toc6501"/>
      <w:bookmarkStart w:id="1350" w:name="_Toc10999"/>
      <w:bookmarkStart w:id="1351" w:name="_Toc1252733204"/>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rPr>
          <w:rFonts w:hint="eastAsia"/>
          <w:b w:val="0"/>
          <w:bCs w:val="0"/>
          <w:color w:val="auto"/>
          <w:sz w:val="28"/>
          <w:szCs w:val="28"/>
          <w:highlight w:val="none"/>
        </w:rPr>
      </w:pPr>
      <w:bookmarkStart w:id="1352" w:name="_Toc485722370"/>
      <w:r>
        <w:rPr>
          <w:rFonts w:hint="eastAsia"/>
          <w:b w:val="0"/>
          <w:bCs w:val="0"/>
          <w:color w:val="auto"/>
          <w:sz w:val="28"/>
          <w:szCs w:val="28"/>
          <w:highlight w:val="none"/>
        </w:rPr>
        <w:br w:type="page"/>
      </w:r>
    </w:p>
    <w:p>
      <w:pPr>
        <w:pStyle w:val="4"/>
        <w:spacing w:before="120" w:afterLines="50"/>
        <w:rPr>
          <w:b w:val="0"/>
          <w:bCs w:val="0"/>
          <w:color w:val="auto"/>
          <w:sz w:val="28"/>
          <w:szCs w:val="28"/>
          <w:highlight w:val="none"/>
        </w:rPr>
      </w:pPr>
      <w:bookmarkStart w:id="1353" w:name="_Toc20631"/>
      <w:r>
        <w:rPr>
          <w:rFonts w:hint="eastAsia"/>
          <w:b w:val="0"/>
          <w:bCs w:val="0"/>
          <w:color w:val="auto"/>
          <w:sz w:val="28"/>
          <w:szCs w:val="28"/>
          <w:highlight w:val="none"/>
        </w:rPr>
        <w:t>1. 评标方法</w:t>
      </w:r>
      <w:bookmarkEnd w:id="1346"/>
      <w:bookmarkEnd w:id="1347"/>
      <w:bookmarkEnd w:id="1348"/>
      <w:bookmarkEnd w:id="1349"/>
      <w:bookmarkEnd w:id="1350"/>
      <w:bookmarkEnd w:id="1351"/>
      <w:bookmarkEnd w:id="1352"/>
      <w:bookmarkEnd w:id="1353"/>
    </w:p>
    <w:p>
      <w:pPr>
        <w:spacing w:line="400" w:lineRule="exact"/>
        <w:ind w:firstLine="420" w:firstLineChars="200"/>
        <w:rPr>
          <w:rFonts w:ascii="宋体" w:hAnsi="宋体" w:cs="宋体"/>
          <w:color w:val="auto"/>
          <w:highlight w:val="none"/>
        </w:rPr>
      </w:pPr>
      <w:r>
        <w:rPr>
          <w:rFonts w:hint="eastAsia" w:ascii="宋体" w:hAnsi="宋体" w:cs="宋体"/>
          <w:color w:val="auto"/>
          <w:highlight w:val="none"/>
        </w:rPr>
        <w:t>本次评标采用</w:t>
      </w:r>
      <w:r>
        <w:rPr>
          <w:rFonts w:hint="eastAsia" w:ascii="宋体" w:hAnsi="宋体" w:cs="宋体"/>
          <w:color w:val="auto"/>
          <w:highlight w:val="none"/>
          <w:lang w:eastAsia="zh-CN"/>
        </w:rPr>
        <w:t>综合评分</w:t>
      </w:r>
      <w:r>
        <w:rPr>
          <w:rFonts w:hint="eastAsia" w:ascii="宋体" w:hAnsi="宋体" w:cs="宋体"/>
          <w:color w:val="auto"/>
          <w:highlight w:val="none"/>
        </w:rPr>
        <w:t>法。评标委员会对满足招标文件实质性要求的投标文件，按照本章第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款规定的评分标准进行打分，并按得分由高到低顺序推荐中标候选人，或根据招标人授权直接确定中标人，但投标报价低于其成本的除外。综合评分相等时，以投标报价低的优先；投标报价也相等的，以综合信用评价分数较高的排前；总得分、报价与综合信用评价分数均相同的投标文件，以施工组织设计</w:t>
      </w:r>
      <w:r>
        <w:rPr>
          <w:rFonts w:hint="eastAsia" w:ascii="宋体" w:hAnsi="宋体" w:cs="宋体"/>
          <w:color w:val="auto"/>
          <w:highlight w:val="none"/>
          <w:lang w:val="en-US" w:eastAsia="zh-CN"/>
        </w:rPr>
        <w:t>分数较</w:t>
      </w:r>
      <w:r>
        <w:rPr>
          <w:rFonts w:hint="eastAsia" w:ascii="宋体" w:hAnsi="宋体" w:cs="宋体"/>
          <w:color w:val="auto"/>
          <w:highlight w:val="none"/>
        </w:rPr>
        <w:t>高的排前；如仍存在相同情况，则对具有相同情况的投标人，</w:t>
      </w:r>
      <w:r>
        <w:rPr>
          <w:rFonts w:hint="eastAsia" w:ascii="宋体" w:hAnsi="宋体" w:cs="宋体"/>
          <w:color w:val="auto"/>
          <w:highlight w:val="none"/>
          <w:lang w:val="en-US" w:eastAsia="zh-CN"/>
        </w:rPr>
        <w:t>由</w:t>
      </w:r>
      <w:r>
        <w:rPr>
          <w:rFonts w:hint="eastAsia" w:ascii="宋体" w:hAnsi="宋体" w:cs="宋体"/>
          <w:color w:val="auto"/>
          <w:highlight w:val="none"/>
        </w:rPr>
        <w:t>评委通过记名</w:t>
      </w:r>
      <w:r>
        <w:rPr>
          <w:rFonts w:hint="eastAsia" w:ascii="宋体" w:hAnsi="宋体" w:cs="宋体"/>
          <w:color w:val="auto"/>
          <w:highlight w:val="none"/>
          <w:lang w:val="en-US" w:eastAsia="zh-CN"/>
        </w:rPr>
        <w:t>投票</w:t>
      </w:r>
      <w:r>
        <w:rPr>
          <w:rFonts w:hint="eastAsia" w:ascii="宋体" w:hAnsi="宋体" w:cs="宋体"/>
          <w:color w:val="auto"/>
          <w:highlight w:val="none"/>
        </w:rPr>
        <w:t>表决（不得弃权），以“少数服从多数”的原则确定排序。</w:t>
      </w:r>
    </w:p>
    <w:p>
      <w:pPr>
        <w:pStyle w:val="4"/>
        <w:spacing w:before="120" w:afterLines="50"/>
        <w:rPr>
          <w:rFonts w:hint="eastAsia"/>
          <w:b w:val="0"/>
          <w:bCs w:val="0"/>
          <w:color w:val="auto"/>
          <w:sz w:val="28"/>
          <w:szCs w:val="28"/>
          <w:highlight w:val="none"/>
        </w:rPr>
      </w:pPr>
      <w:bookmarkStart w:id="1354" w:name="_Toc26262"/>
      <w:bookmarkStart w:id="1355" w:name="_Toc1168"/>
      <w:bookmarkStart w:id="1356" w:name="_Toc918878273"/>
      <w:bookmarkStart w:id="1357" w:name="_Toc32119"/>
      <w:bookmarkStart w:id="1358" w:name="_Toc12943"/>
      <w:bookmarkStart w:id="1359" w:name="_Toc24389"/>
      <w:bookmarkStart w:id="1360" w:name="_Toc18975"/>
      <w:bookmarkStart w:id="1361" w:name="_Toc1642042760"/>
      <w:r>
        <w:rPr>
          <w:rFonts w:hint="eastAsia"/>
          <w:b w:val="0"/>
          <w:bCs w:val="0"/>
          <w:color w:val="auto"/>
          <w:sz w:val="28"/>
          <w:szCs w:val="28"/>
          <w:highlight w:val="none"/>
        </w:rPr>
        <w:t>2. 评审标准</w:t>
      </w:r>
      <w:bookmarkEnd w:id="1354"/>
      <w:bookmarkEnd w:id="1355"/>
      <w:bookmarkEnd w:id="1356"/>
      <w:bookmarkEnd w:id="1357"/>
      <w:bookmarkEnd w:id="1358"/>
      <w:bookmarkEnd w:id="1359"/>
      <w:bookmarkEnd w:id="1360"/>
      <w:bookmarkEnd w:id="1361"/>
    </w:p>
    <w:p>
      <w:pPr>
        <w:pStyle w:val="32"/>
        <w:spacing w:line="360" w:lineRule="auto"/>
        <w:outlineLvl w:val="9"/>
        <w:rPr>
          <w:color w:val="auto"/>
          <w:sz w:val="24"/>
          <w:szCs w:val="24"/>
          <w:highlight w:val="none"/>
        </w:rPr>
      </w:pPr>
      <w:bookmarkStart w:id="1362" w:name="_Toc11043"/>
      <w:bookmarkStart w:id="1363" w:name="_Toc31443"/>
      <w:bookmarkStart w:id="1364" w:name="_Toc109149847"/>
      <w:bookmarkStart w:id="1365" w:name="_Toc25065"/>
      <w:bookmarkStart w:id="1366" w:name="_Toc959480464"/>
      <w:bookmarkStart w:id="1367" w:name="_Toc15755"/>
      <w:bookmarkStart w:id="1368" w:name="_Toc22764"/>
      <w:bookmarkStart w:id="1369" w:name="_Toc20127"/>
      <w:bookmarkStart w:id="1370" w:name="_Toc881941118"/>
      <w:r>
        <w:rPr>
          <w:rFonts w:hint="eastAsia"/>
          <w:color w:val="auto"/>
          <w:sz w:val="24"/>
          <w:szCs w:val="24"/>
          <w:highlight w:val="none"/>
        </w:rPr>
        <w:t>2.2 分值构成与评分标准</w:t>
      </w:r>
      <w:bookmarkEnd w:id="1362"/>
      <w:bookmarkEnd w:id="1363"/>
      <w:bookmarkEnd w:id="1364"/>
      <w:bookmarkEnd w:id="1365"/>
      <w:bookmarkEnd w:id="1366"/>
      <w:bookmarkEnd w:id="1367"/>
      <w:bookmarkEnd w:id="1368"/>
      <w:bookmarkEnd w:id="1369"/>
      <w:bookmarkEnd w:id="1370"/>
    </w:p>
    <w:p>
      <w:pPr>
        <w:spacing w:line="400" w:lineRule="exact"/>
        <w:ind w:firstLine="525" w:firstLineChars="250"/>
        <w:outlineLvl w:val="9"/>
        <w:rPr>
          <w:rFonts w:ascii="宋体" w:hAnsi="宋体" w:cs="宋体"/>
          <w:color w:val="auto"/>
          <w:highlight w:val="none"/>
        </w:rPr>
      </w:pP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 xml:space="preserve"> 分值构成</w:t>
      </w:r>
    </w:p>
    <w:p>
      <w:pPr>
        <w:spacing w:line="400" w:lineRule="exact"/>
        <w:ind w:firstLine="718" w:firstLineChars="342"/>
        <w:outlineLvl w:val="9"/>
        <w:rPr>
          <w:rFonts w:hint="eastAsia"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）投标报价：</w:t>
      </w:r>
    </w:p>
    <w:p>
      <w:pPr>
        <w:spacing w:line="400" w:lineRule="exact"/>
        <w:ind w:firstLine="718" w:firstLineChars="342"/>
        <w:outlineLvl w:val="9"/>
        <w:rPr>
          <w:rFonts w:ascii="宋体" w:hAnsi="宋体" w:cs="宋体"/>
          <w:color w:val="auto"/>
          <w:highlight w:val="none"/>
        </w:rPr>
      </w:pPr>
      <w:r>
        <w:rPr>
          <w:rFonts w:hint="eastAsia" w:ascii="宋体" w:hAnsi="宋体" w:cs="宋体"/>
          <w:color w:val="auto"/>
          <w:highlight w:val="none"/>
        </w:rPr>
        <w:t>通过初步评审且不高于最高投标限价的投标报价为有效投标报价。非竞争性费用需与招标人发布的金额一致，不一致的投标报价无效。投标报价不得低于成本价，否则投标报价为无效投标报价。成本警示价见第二章投标人须知前附表第3.2.4项。对低于该成本警示价的投标报价，投标人必须提供详细的施工组织设计、单价、措施性费用、单价分析表、主要材料价格表、投标人成本分析供评标委员会评审，由评标委员会判定其是否低于企业自身成本，投标人未在投标文件中提供相关材料或者不能合理说明的，由评标委员会认定该投标人以低于成本报价竞标，应当否决其投标；在评标过程中，评标委员会发现投标人的报价明显低于其他投标报价，使得其投标报价可能低于其个别成本的，应当要求该投标人作出书面说明并提供相关证明材料。投标人不能合理说明或者不能提供相关证明材料的，由评标委员会认定该投标人以低于成本报价竞标，应当否决其投标。；</w:t>
      </w:r>
    </w:p>
    <w:p>
      <w:pPr>
        <w:spacing w:line="400" w:lineRule="exact"/>
        <w:ind w:firstLine="718" w:firstLineChars="342"/>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）施工组织设计：见评标办法前附表；</w:t>
      </w:r>
    </w:p>
    <w:p>
      <w:pPr>
        <w:spacing w:line="400" w:lineRule="exact"/>
        <w:ind w:firstLine="718" w:firstLineChars="342"/>
        <w:outlineLvl w:val="9"/>
        <w:rPr>
          <w:rFonts w:hint="eastAsia"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）项目管理机构及其他：见评标办法前附表。</w:t>
      </w:r>
    </w:p>
    <w:p>
      <w:pPr>
        <w:spacing w:line="400" w:lineRule="exact"/>
        <w:ind w:firstLine="718" w:firstLineChars="342"/>
        <w:outlineLvl w:val="9"/>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4</w:t>
      </w:r>
      <w:r>
        <w:rPr>
          <w:rFonts w:hint="eastAsia" w:ascii="宋体" w:hAnsi="宋体" w:cs="宋体"/>
          <w:color w:val="auto"/>
          <w:highlight w:val="none"/>
        </w:rPr>
        <w:t>）综合信用评价：见评标办法前附表。</w:t>
      </w:r>
    </w:p>
    <w:p>
      <w:pPr>
        <w:spacing w:line="400" w:lineRule="exact"/>
        <w:ind w:firstLine="525" w:firstLineChars="250"/>
        <w:outlineLvl w:val="9"/>
        <w:rPr>
          <w:rFonts w:hint="eastAsia" w:ascii="宋体" w:hAnsi="宋体" w:cs="宋体"/>
          <w:color w:val="auto"/>
          <w:highlight w:val="none"/>
        </w:rPr>
      </w:pP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评标基准价计算：</w:t>
      </w:r>
    </w:p>
    <w:p>
      <w:pPr>
        <w:spacing w:line="400" w:lineRule="exact"/>
        <w:ind w:firstLine="525" w:firstLineChars="250"/>
        <w:outlineLvl w:val="9"/>
        <w:rPr>
          <w:rFonts w:hint="eastAsia" w:ascii="宋体" w:hAnsi="宋体" w:cs="宋体"/>
          <w:color w:val="auto"/>
          <w:highlight w:val="none"/>
        </w:rPr>
      </w:pPr>
      <w:r>
        <w:rPr>
          <w:rFonts w:hint="eastAsia" w:ascii="宋体" w:hAnsi="宋体" w:cs="宋体"/>
          <w:color w:val="auto"/>
          <w:highlight w:val="none"/>
        </w:rPr>
        <w:t>评标基准价可按以下方式确定：（注：招标人自行选择，两选一）</w:t>
      </w:r>
    </w:p>
    <w:p>
      <w:pPr>
        <w:spacing w:line="400" w:lineRule="exact"/>
        <w:ind w:firstLine="525" w:firstLineChars="250"/>
        <w:outlineLvl w:val="9"/>
        <w:rPr>
          <w:rFonts w:hint="eastAsia" w:ascii="宋体" w:hAnsi="宋体" w:cs="宋体"/>
          <w:color w:val="auto"/>
          <w:highlight w:val="none"/>
        </w:rPr>
      </w:pPr>
      <w:r>
        <w:rPr>
          <w:rFonts w:hint="eastAsia" w:ascii="宋体" w:hAnsi="宋体" w:cs="宋体"/>
          <w:color w:val="auto"/>
          <w:highlight w:val="none"/>
        </w:rPr>
        <w:t>可选方式一：以全部或随机抽取的有效投标报价的算术平均值按随机抽取的评标基准价下浮率（2～5%，0.5一个级别）下浮作为评标基准价。具体确定方法如下：</w:t>
      </w:r>
    </w:p>
    <w:p>
      <w:pPr>
        <w:spacing w:line="400" w:lineRule="exact"/>
        <w:ind w:firstLine="525" w:firstLineChars="250"/>
        <w:outlineLvl w:val="9"/>
        <w:rPr>
          <w:rFonts w:hint="eastAsia" w:ascii="宋体" w:hAnsi="宋体" w:cs="宋体"/>
          <w:color w:val="auto"/>
          <w:highlight w:val="none"/>
        </w:rPr>
      </w:pPr>
      <w:r>
        <w:rPr>
          <w:rFonts w:hint="eastAsia" w:ascii="宋体" w:hAnsi="宋体" w:cs="宋体"/>
          <w:color w:val="auto"/>
          <w:highlight w:val="none"/>
        </w:rPr>
        <w:t>a、当有效投标报价的投标人少于或等于5个时，取全部有效投标报价的算术平均按随机抽取的评标基准价下浮率（2～5%，0.5一个级别）下浮作为评标基准价。</w:t>
      </w:r>
    </w:p>
    <w:p>
      <w:pPr>
        <w:spacing w:line="400" w:lineRule="exact"/>
        <w:ind w:firstLine="525" w:firstLineChars="250"/>
        <w:outlineLvl w:val="9"/>
        <w:rPr>
          <w:rFonts w:hint="eastAsia" w:ascii="宋体" w:hAnsi="宋体" w:cs="宋体"/>
          <w:color w:val="auto"/>
          <w:highlight w:val="none"/>
        </w:rPr>
      </w:pPr>
      <w:r>
        <w:rPr>
          <w:rFonts w:hint="eastAsia" w:ascii="宋体" w:hAnsi="宋体" w:cs="宋体"/>
          <w:color w:val="auto"/>
          <w:highlight w:val="none"/>
        </w:rPr>
        <w:t>b、当有效投标报价的投标人为6至10个时，从全部有效投标报价中去掉一个最大值和最小值，其他有效投标报价的算术平均值按随机抽取的评标基准价下浮率（2～5%，0.5一个级别）下浮作为评标基准价。</w:t>
      </w:r>
    </w:p>
    <w:p>
      <w:pPr>
        <w:spacing w:line="400" w:lineRule="exact"/>
        <w:ind w:firstLine="525" w:firstLineChars="250"/>
        <w:outlineLvl w:val="9"/>
        <w:rPr>
          <w:rFonts w:hint="eastAsia" w:ascii="宋体" w:hAnsi="宋体" w:cs="宋体"/>
          <w:color w:val="auto"/>
          <w:highlight w:val="none"/>
        </w:rPr>
      </w:pPr>
      <w:r>
        <w:rPr>
          <w:rFonts w:hint="eastAsia" w:ascii="宋体" w:hAnsi="宋体" w:cs="宋体"/>
          <w:color w:val="auto"/>
          <w:highlight w:val="none"/>
        </w:rPr>
        <w:t>c、当有效投标报价的投标人大于10个时，随机抽取10个有效投标报价并从中去掉一个最大值和最小值后计算算术平均值，该平均值按随机抽取的评标基准价下浮率（2～5%，0.5一个级别）下浮作为评标基准价。</w:t>
      </w:r>
    </w:p>
    <w:p>
      <w:pPr>
        <w:spacing w:line="400" w:lineRule="exact"/>
        <w:ind w:firstLine="525" w:firstLineChars="250"/>
        <w:outlineLvl w:val="9"/>
        <w:rPr>
          <w:rFonts w:hint="eastAsia" w:ascii="宋体" w:hAnsi="宋体" w:cs="宋体"/>
          <w:color w:val="auto"/>
          <w:highlight w:val="none"/>
        </w:rPr>
      </w:pPr>
      <w:r>
        <w:rPr>
          <w:rFonts w:hint="eastAsia" w:ascii="宋体" w:hAnsi="宋体" w:cs="宋体"/>
          <w:color w:val="auto"/>
          <w:highlight w:val="none"/>
        </w:rPr>
        <w:t>在首次评标过程中，投标人未被发现存在串通投标、弄虚作假、行贿等情形的，无论是否重评，经确定的评标基准价不变。</w:t>
      </w:r>
    </w:p>
    <w:p>
      <w:pPr>
        <w:spacing w:line="400" w:lineRule="exact"/>
        <w:ind w:firstLine="525" w:firstLineChars="250"/>
        <w:outlineLvl w:val="9"/>
        <w:rPr>
          <w:rFonts w:hint="eastAsia" w:ascii="宋体" w:hAnsi="宋体" w:cs="宋体"/>
          <w:color w:val="auto"/>
          <w:highlight w:val="none"/>
        </w:rPr>
      </w:pPr>
      <w:r>
        <w:rPr>
          <w:rFonts w:hint="eastAsia" w:ascii="宋体" w:hAnsi="宋体" w:cs="宋体"/>
          <w:color w:val="auto"/>
          <w:highlight w:val="none"/>
        </w:rPr>
        <w:t>可选方式二：以有效投标报价的算术平均值按随机抽取的评标基准价下浮率（2～5%，0.5一个级别）下浮作为评标基准价。</w:t>
      </w:r>
    </w:p>
    <w:p>
      <w:pPr>
        <w:spacing w:line="400" w:lineRule="exact"/>
        <w:ind w:firstLine="525" w:firstLineChars="250"/>
        <w:outlineLvl w:val="9"/>
        <w:rPr>
          <w:rFonts w:ascii="宋体" w:hAnsi="宋体" w:cs="宋体"/>
          <w:color w:val="auto"/>
          <w:highlight w:val="none"/>
        </w:rPr>
      </w:pPr>
      <w:r>
        <w:rPr>
          <w:rFonts w:hint="eastAsia" w:ascii="宋体" w:hAnsi="宋体" w:cs="宋体"/>
          <w:color w:val="auto"/>
          <w:highlight w:val="none"/>
        </w:rPr>
        <w:t>在首次评标过程中，投标人未被发现存在串通投标、弄虚作假、行贿等情形的，无论是否重评，经确定的评标基准价不变。</w:t>
      </w:r>
    </w:p>
    <w:p>
      <w:pPr>
        <w:spacing w:line="400" w:lineRule="exact"/>
        <w:ind w:firstLine="525" w:firstLineChars="250"/>
        <w:outlineLvl w:val="9"/>
        <w:rPr>
          <w:rFonts w:ascii="宋体" w:hAnsi="宋体" w:cs="宋体"/>
          <w:color w:val="auto"/>
          <w:highlight w:val="none"/>
        </w:rPr>
      </w:pP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投标报价的偏差率计算方法：见评标办法前附表。</w:t>
      </w:r>
    </w:p>
    <w:p>
      <w:pPr>
        <w:spacing w:line="400" w:lineRule="exact"/>
        <w:ind w:firstLine="525" w:firstLineChars="250"/>
        <w:outlineLvl w:val="9"/>
        <w:rPr>
          <w:rFonts w:ascii="宋体" w:hAnsi="宋体" w:cs="宋体"/>
          <w:color w:val="auto"/>
          <w:highlight w:val="none"/>
        </w:rPr>
      </w:pP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评分标准</w:t>
      </w:r>
    </w:p>
    <w:p>
      <w:pPr>
        <w:spacing w:line="400" w:lineRule="exact"/>
        <w:ind w:firstLine="718" w:firstLineChars="342"/>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）投标报价：见评标办法前附表；</w:t>
      </w:r>
    </w:p>
    <w:p>
      <w:pPr>
        <w:spacing w:line="400" w:lineRule="exact"/>
        <w:ind w:firstLine="718" w:firstLineChars="342"/>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）施工组织设计：见评标办法前附表；</w:t>
      </w:r>
    </w:p>
    <w:p>
      <w:pPr>
        <w:spacing w:line="400" w:lineRule="exact"/>
        <w:ind w:firstLine="718" w:firstLineChars="342"/>
        <w:outlineLvl w:val="9"/>
        <w:rPr>
          <w:rFonts w:hint="eastAsia"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）项目管理机构及其他：见评标办法前附表。</w:t>
      </w:r>
    </w:p>
    <w:p>
      <w:pPr>
        <w:spacing w:line="400" w:lineRule="exact"/>
        <w:ind w:firstLine="718" w:firstLineChars="342"/>
        <w:outlineLvl w:val="9"/>
        <w:rPr>
          <w:rFonts w:ascii="宋体" w:hAnsi="宋体" w:cs="宋体"/>
          <w:color w:val="auto"/>
          <w:highlight w:val="none"/>
        </w:rPr>
      </w:pPr>
      <w:r>
        <w:rPr>
          <w:rFonts w:hint="eastAsia" w:ascii="宋体" w:hAnsi="宋体" w:cs="宋体"/>
          <w:color w:val="auto"/>
          <w:highlight w:val="none"/>
        </w:rPr>
        <w:t>（4）综合信用评价：见评标办法前附表。</w:t>
      </w:r>
    </w:p>
    <w:p>
      <w:pPr>
        <w:pStyle w:val="4"/>
        <w:spacing w:before="120" w:afterLines="50"/>
        <w:rPr>
          <w:rFonts w:hint="eastAsia"/>
          <w:b w:val="0"/>
          <w:bCs w:val="0"/>
          <w:color w:val="auto"/>
          <w:sz w:val="28"/>
          <w:szCs w:val="28"/>
          <w:highlight w:val="none"/>
        </w:rPr>
      </w:pPr>
      <w:bookmarkStart w:id="1371" w:name="_Toc14088"/>
      <w:bookmarkStart w:id="1372" w:name="_Toc17726"/>
      <w:bookmarkStart w:id="1373" w:name="_Toc1415965070"/>
      <w:bookmarkStart w:id="1374" w:name="_Toc4674"/>
      <w:bookmarkStart w:id="1375" w:name="_Toc28729"/>
      <w:bookmarkStart w:id="1376" w:name="_Toc21219"/>
      <w:bookmarkStart w:id="1377" w:name="_Toc1491223086"/>
      <w:bookmarkStart w:id="1378" w:name="_Toc9094"/>
      <w:r>
        <w:rPr>
          <w:rFonts w:hint="eastAsia"/>
          <w:b w:val="0"/>
          <w:bCs w:val="0"/>
          <w:color w:val="auto"/>
          <w:sz w:val="28"/>
          <w:szCs w:val="28"/>
          <w:highlight w:val="none"/>
        </w:rPr>
        <w:t>3. 评标程序</w:t>
      </w:r>
      <w:bookmarkEnd w:id="1371"/>
      <w:bookmarkEnd w:id="1372"/>
      <w:bookmarkEnd w:id="1373"/>
      <w:bookmarkEnd w:id="1374"/>
      <w:bookmarkEnd w:id="1375"/>
      <w:bookmarkEnd w:id="1376"/>
      <w:bookmarkEnd w:id="1377"/>
      <w:bookmarkEnd w:id="1378"/>
    </w:p>
    <w:p>
      <w:pPr>
        <w:pStyle w:val="32"/>
        <w:pageBreakBefore w:val="0"/>
        <w:widowControl w:val="0"/>
        <w:kinsoku/>
        <w:wordWrap/>
        <w:overflowPunct/>
        <w:topLinePunct w:val="0"/>
        <w:autoSpaceDE/>
        <w:autoSpaceDN/>
        <w:bidi w:val="0"/>
        <w:textAlignment w:val="auto"/>
        <w:outlineLvl w:val="9"/>
        <w:rPr>
          <w:color w:val="auto"/>
          <w:sz w:val="24"/>
          <w:szCs w:val="24"/>
          <w:highlight w:val="none"/>
        </w:rPr>
      </w:pPr>
      <w:bookmarkStart w:id="1379" w:name="_Toc30719"/>
      <w:bookmarkStart w:id="1380" w:name="_Toc28772"/>
      <w:bookmarkStart w:id="1381" w:name="_Toc109149849"/>
      <w:bookmarkStart w:id="1382" w:name="_Toc14870"/>
      <w:bookmarkStart w:id="1383" w:name="_Toc28262"/>
      <w:bookmarkStart w:id="1384" w:name="_Toc959837347"/>
      <w:bookmarkStart w:id="1385" w:name="_Toc1343540152"/>
      <w:bookmarkStart w:id="1386" w:name="_Toc27234"/>
      <w:bookmarkStart w:id="1387" w:name="_Toc24806"/>
      <w:r>
        <w:rPr>
          <w:rFonts w:hint="eastAsia"/>
          <w:color w:val="auto"/>
          <w:sz w:val="24"/>
          <w:szCs w:val="24"/>
          <w:highlight w:val="none"/>
        </w:rPr>
        <w:t>3.1 初步评审</w:t>
      </w:r>
      <w:bookmarkEnd w:id="1379"/>
      <w:bookmarkEnd w:id="1380"/>
      <w:bookmarkEnd w:id="1381"/>
      <w:bookmarkEnd w:id="1382"/>
      <w:bookmarkEnd w:id="1383"/>
      <w:bookmarkEnd w:id="1384"/>
      <w:bookmarkEnd w:id="1385"/>
      <w:bookmarkEnd w:id="1386"/>
      <w:bookmarkEnd w:id="1387"/>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 xml:space="preserve"> 评标委员会可以要求投标人提交</w:t>
      </w:r>
      <w:r>
        <w:rPr>
          <w:rFonts w:hint="eastAsia" w:ascii="宋体" w:hAnsi="宋体" w:cs="宋体"/>
          <w:color w:val="auto"/>
          <w:highlight w:val="none"/>
          <w:lang w:eastAsia="zh-CN"/>
        </w:rPr>
        <w:t>第二章</w:t>
      </w:r>
      <w:r>
        <w:rPr>
          <w:rFonts w:hint="eastAsia" w:ascii="宋体" w:hAnsi="宋体" w:cs="宋体"/>
          <w:color w:val="auto"/>
          <w:highlight w:val="none"/>
        </w:rPr>
        <w:t>“投标人须知”第</w:t>
      </w: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5</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项规定的有关证明和证件的原件，以便核验。评标委员会依据本章第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款规定的标准对投标文件进行初步评审。有一项不符合评审标准的，其投标被否决。</w:t>
      </w:r>
    </w:p>
    <w:p>
      <w:pPr>
        <w:pageBreakBefore w:val="0"/>
        <w:widowControl w:val="0"/>
        <w:kinsoku/>
        <w:wordWrap/>
        <w:overflowPunct/>
        <w:topLinePunct w:val="0"/>
        <w:autoSpaceDE/>
        <w:autoSpaceDN/>
        <w:bidi w:val="0"/>
        <w:spacing w:line="400" w:lineRule="exact"/>
        <w:ind w:firstLine="420" w:firstLineChars="200"/>
        <w:textAlignment w:val="auto"/>
        <w:outlineLvl w:val="9"/>
        <w:rPr>
          <w:color w:val="auto"/>
          <w:highlight w:val="none"/>
        </w:rPr>
      </w:pPr>
      <w:r>
        <w:rPr>
          <w:rFonts w:hint="eastAsia"/>
          <w:color w:val="auto"/>
          <w:highlight w:val="none"/>
        </w:rPr>
        <w:t>3.1.2 投标人有以下情形之一的，评标委员会应当否决其投标：</w:t>
      </w:r>
    </w:p>
    <w:p>
      <w:pPr>
        <w:pageBreakBefore w:val="0"/>
        <w:widowControl w:val="0"/>
        <w:kinsoku/>
        <w:wordWrap/>
        <w:overflowPunct/>
        <w:topLinePunct w:val="0"/>
        <w:autoSpaceDE/>
        <w:autoSpaceDN/>
        <w:bidi w:val="0"/>
        <w:spacing w:line="400" w:lineRule="exact"/>
        <w:ind w:firstLine="718" w:firstLineChars="342"/>
        <w:textAlignment w:val="auto"/>
        <w:outlineLvl w:val="9"/>
        <w:rPr>
          <w:color w:val="auto"/>
          <w:highlight w:val="none"/>
        </w:rPr>
      </w:pPr>
      <w:r>
        <w:rPr>
          <w:rFonts w:hint="eastAsia"/>
          <w:color w:val="auto"/>
          <w:highlight w:val="none"/>
        </w:rPr>
        <w:t>（1）不按评标委员会要求澄清、说明或补正的；</w:t>
      </w:r>
    </w:p>
    <w:p>
      <w:pPr>
        <w:pageBreakBefore w:val="0"/>
        <w:widowControl w:val="0"/>
        <w:kinsoku/>
        <w:wordWrap/>
        <w:overflowPunct/>
        <w:topLinePunct w:val="0"/>
        <w:autoSpaceDE/>
        <w:autoSpaceDN/>
        <w:bidi w:val="0"/>
        <w:spacing w:line="400" w:lineRule="exact"/>
        <w:ind w:firstLine="718" w:firstLineChars="342"/>
        <w:textAlignment w:val="auto"/>
        <w:outlineLvl w:val="9"/>
        <w:rPr>
          <w:color w:val="auto"/>
          <w:highlight w:val="none"/>
        </w:rPr>
      </w:pPr>
      <w:r>
        <w:rPr>
          <w:rFonts w:hint="eastAsia"/>
          <w:color w:val="auto"/>
          <w:highlight w:val="none"/>
        </w:rPr>
        <w:t>（2）有串通投标、弄虚作假、行贿或有其他违法行为的。</w:t>
      </w:r>
    </w:p>
    <w:p>
      <w:pPr>
        <w:pageBreakBefore w:val="0"/>
        <w:widowControl w:val="0"/>
        <w:kinsoku/>
        <w:wordWrap/>
        <w:overflowPunct/>
        <w:topLinePunct w:val="0"/>
        <w:autoSpaceDE/>
        <w:autoSpaceDN/>
        <w:bidi w:val="0"/>
        <w:spacing w:line="360" w:lineRule="auto"/>
        <w:ind w:firstLine="945" w:firstLineChars="450"/>
        <w:textAlignment w:val="auto"/>
        <w:outlineLvl w:val="9"/>
        <w:rPr>
          <w:color w:val="auto"/>
          <w:highlight w:val="none"/>
        </w:rPr>
      </w:pPr>
      <w:r>
        <w:rPr>
          <w:rFonts w:hint="eastAsia"/>
          <w:color w:val="auto"/>
          <w:highlight w:val="none"/>
        </w:rPr>
        <w:t>1）有下列情形之一的，视为投标人相互串通投标：</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① 不同投标人的投标文件由同一单位或者个人编制；</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② 不同投标人委托同一单位或者个人办理投标事宜；</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③ 不同投标人的投标文件载明的项目管理成员为同一人；</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④ 不同投标人的投标文件异常一致或者投标报价呈规律性差异；</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⑤ 不同投标人的投标文件相互混装；</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⑥ 不同投标人的投标保证金从同一单位或者个人的账户转出；</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color w:val="auto"/>
          <w:highlight w:val="none"/>
        </w:rPr>
        <w:fldChar w:fldCharType="begin"/>
      </w:r>
      <w:r>
        <w:rPr>
          <w:rFonts w:hint="eastAsia"/>
          <w:color w:val="auto"/>
          <w:highlight w:val="none"/>
        </w:rPr>
        <w:instrText xml:space="preserve">= 7 \* GB3</w:instrText>
      </w:r>
      <w:r>
        <w:rPr>
          <w:color w:val="auto"/>
          <w:highlight w:val="none"/>
        </w:rPr>
        <w:fldChar w:fldCharType="separate"/>
      </w:r>
      <w:r>
        <w:rPr>
          <w:rFonts w:hint="eastAsia"/>
          <w:color w:val="auto"/>
          <w:highlight w:val="none"/>
        </w:rPr>
        <w:t>⑦</w:t>
      </w:r>
      <w:r>
        <w:rPr>
          <w:color w:val="auto"/>
          <w:highlight w:val="none"/>
        </w:rPr>
        <w:fldChar w:fldCharType="end"/>
      </w:r>
      <w:r>
        <w:rPr>
          <w:rFonts w:hint="eastAsia"/>
          <w:color w:val="auto"/>
          <w:highlight w:val="none"/>
        </w:rPr>
        <w:t>不同投标人的投标文件存在“机器特征码”一致等情形。</w:t>
      </w:r>
    </w:p>
    <w:p>
      <w:pPr>
        <w:pageBreakBefore w:val="0"/>
        <w:widowControl w:val="0"/>
        <w:kinsoku/>
        <w:wordWrap/>
        <w:overflowPunct/>
        <w:topLinePunct w:val="0"/>
        <w:autoSpaceDE/>
        <w:autoSpaceDN/>
        <w:bidi w:val="0"/>
        <w:spacing w:line="360" w:lineRule="auto"/>
        <w:textAlignment w:val="auto"/>
        <w:outlineLvl w:val="9"/>
        <w:rPr>
          <w:color w:val="auto"/>
          <w:highlight w:val="none"/>
        </w:rPr>
      </w:pPr>
      <w:r>
        <w:rPr>
          <w:rFonts w:hint="eastAsia"/>
          <w:color w:val="auto"/>
          <w:highlight w:val="none"/>
        </w:rPr>
        <w:t xml:space="preserve">         2）有下列情形之一的，属于弄虚作假行为：</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① 使用通过受让或者租借等方式获取的资格、资质证书投标的，即以他人名义投标的。</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② 使用伪造、变造的许可证件；</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③ 提供虚假的财务状况或者业绩；</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④ 提供虚假的项目负责人或者主要技术人员简历、劳动关系证明；</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⑤ 提供虚假的信用状况；</w:t>
      </w:r>
    </w:p>
    <w:p>
      <w:pPr>
        <w:pageBreakBefore w:val="0"/>
        <w:widowControl w:val="0"/>
        <w:kinsoku/>
        <w:wordWrap/>
        <w:overflowPunct/>
        <w:topLinePunct w:val="0"/>
        <w:autoSpaceDE/>
        <w:autoSpaceDN/>
        <w:bidi w:val="0"/>
        <w:spacing w:line="400" w:lineRule="exact"/>
        <w:ind w:firstLine="1003" w:firstLineChars="478"/>
        <w:textAlignment w:val="auto"/>
        <w:outlineLvl w:val="9"/>
        <w:rPr>
          <w:color w:val="auto"/>
          <w:highlight w:val="none"/>
        </w:rPr>
      </w:pPr>
      <w:r>
        <w:rPr>
          <w:rFonts w:hint="eastAsia"/>
          <w:color w:val="auto"/>
          <w:highlight w:val="none"/>
        </w:rPr>
        <w:t>⑥ 其他弄虚作假的行为。</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投标报价有算术错误的，评标委员会按以下原则对投标报价进行修正，修正的价格经投标人书面确认后具有约束力。投标人不接受修正价格的，其投标将被否决。</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）投标文件中的大写金额与小写金额不一致的，以大写金额为准；</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）总价金额与依据单价计算出的结果不一致的，以单价金额为准修正总价，但单价金额小数点有明显错误的除外。</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 xml:space="preserve">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由评标委员会认定该投标人以低于成本报价竞标，其投标被否决。</w:t>
      </w:r>
    </w:p>
    <w:p>
      <w:pPr>
        <w:pageBreakBefore w:val="0"/>
        <w:widowControl w:val="0"/>
        <w:kinsoku/>
        <w:wordWrap/>
        <w:overflowPunct/>
        <w:topLinePunct w:val="0"/>
        <w:autoSpaceDE/>
        <w:autoSpaceDN/>
        <w:bidi w:val="0"/>
        <w:spacing w:line="400" w:lineRule="exact"/>
        <w:ind w:firstLine="420" w:firstLineChars="200"/>
        <w:textAlignment w:val="auto"/>
        <w:outlineLvl w:val="9"/>
        <w:rPr>
          <w:color w:val="auto"/>
          <w:highlight w:val="none"/>
        </w:rPr>
      </w:pPr>
      <w:r>
        <w:rPr>
          <w:rFonts w:hint="eastAsia"/>
          <w:color w:val="auto"/>
          <w:highlight w:val="none"/>
        </w:rPr>
        <w:t>3.1</w:t>
      </w:r>
      <w:r>
        <w:rPr>
          <w:color w:val="auto"/>
          <w:highlight w:val="none"/>
        </w:rPr>
        <w:t>.</w:t>
      </w:r>
      <w:r>
        <w:rPr>
          <w:rFonts w:hint="eastAsia"/>
          <w:color w:val="auto"/>
          <w:highlight w:val="none"/>
        </w:rPr>
        <w:t>5</w:t>
      </w:r>
      <w:r>
        <w:rPr>
          <w:color w:val="auto"/>
          <w:highlight w:val="none"/>
        </w:rPr>
        <w:t xml:space="preserve"> 评标委员会否决不合格投标后，因有效投标不足三个使得投标明显缺乏竞争的，评标委员会可以否决全部投标。</w:t>
      </w:r>
    </w:p>
    <w:p>
      <w:pPr>
        <w:pStyle w:val="32"/>
        <w:pageBreakBefore w:val="0"/>
        <w:widowControl w:val="0"/>
        <w:kinsoku/>
        <w:wordWrap/>
        <w:overflowPunct/>
        <w:topLinePunct w:val="0"/>
        <w:autoSpaceDE/>
        <w:autoSpaceDN/>
        <w:bidi w:val="0"/>
        <w:textAlignment w:val="auto"/>
        <w:outlineLvl w:val="9"/>
        <w:rPr>
          <w:color w:val="auto"/>
          <w:sz w:val="24"/>
          <w:szCs w:val="24"/>
          <w:highlight w:val="none"/>
        </w:rPr>
      </w:pPr>
      <w:bookmarkStart w:id="1388" w:name="_Toc9961"/>
      <w:bookmarkStart w:id="1389" w:name="_Toc30347"/>
      <w:bookmarkStart w:id="1390" w:name="_Toc23753"/>
      <w:bookmarkStart w:id="1391" w:name="_Toc568064337"/>
      <w:bookmarkStart w:id="1392" w:name="_Toc109149850"/>
      <w:bookmarkStart w:id="1393" w:name="_Toc17126"/>
      <w:bookmarkStart w:id="1394" w:name="_Toc6360"/>
      <w:bookmarkStart w:id="1395" w:name="_Toc213946876"/>
      <w:bookmarkStart w:id="1396" w:name="_Toc31912"/>
      <w:r>
        <w:rPr>
          <w:rFonts w:hint="eastAsia"/>
          <w:color w:val="auto"/>
          <w:sz w:val="24"/>
          <w:szCs w:val="24"/>
          <w:highlight w:val="none"/>
        </w:rPr>
        <w:t>3.2 详细评审</w:t>
      </w:r>
      <w:bookmarkEnd w:id="1388"/>
      <w:bookmarkEnd w:id="1389"/>
      <w:bookmarkEnd w:id="1390"/>
      <w:bookmarkEnd w:id="1391"/>
      <w:bookmarkEnd w:id="1392"/>
      <w:bookmarkEnd w:id="1393"/>
      <w:bookmarkEnd w:id="1394"/>
      <w:bookmarkEnd w:id="1395"/>
      <w:bookmarkEnd w:id="1396"/>
    </w:p>
    <w:p>
      <w:pPr>
        <w:pageBreakBefore w:val="0"/>
        <w:widowControl w:val="0"/>
        <w:kinsoku/>
        <w:wordWrap/>
        <w:overflowPunct/>
        <w:topLinePunct w:val="0"/>
        <w:autoSpaceDE/>
        <w:autoSpaceDN/>
        <w:bidi w:val="0"/>
        <w:spacing w:line="400" w:lineRule="exact"/>
        <w:ind w:firstLine="420" w:firstLineChars="200"/>
        <w:textAlignment w:val="auto"/>
        <w:outlineLvl w:val="9"/>
        <w:rPr>
          <w:color w:val="auto"/>
          <w:highlight w:val="none"/>
        </w:rPr>
      </w:pPr>
      <w:r>
        <w:rPr>
          <w:rFonts w:hint="eastAsia"/>
          <w:color w:val="auto"/>
          <w:highlight w:val="none"/>
        </w:rPr>
        <w:t>3.2.1 评标委员会对通过了初步评审的投标文件进行详细评审，评标办法前附表另有规定的除外。</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 xml:space="preserve"> 评标委员会按本章第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款规定的量化因素和分值进行打分，并计算出</w:t>
      </w:r>
      <w:r>
        <w:rPr>
          <w:rFonts w:hint="eastAsia" w:ascii="宋体" w:hAnsi="宋体" w:cs="宋体"/>
          <w:color w:val="auto"/>
          <w:highlight w:val="none"/>
          <w:lang w:eastAsia="zh-CN"/>
        </w:rPr>
        <w:t>综合评分</w:t>
      </w:r>
      <w:r>
        <w:rPr>
          <w:rFonts w:hint="eastAsia" w:ascii="宋体" w:hAnsi="宋体" w:cs="宋体"/>
          <w:color w:val="auto"/>
          <w:highlight w:val="none"/>
        </w:rPr>
        <w:t>得分。</w:t>
      </w:r>
    </w:p>
    <w:p>
      <w:pPr>
        <w:pageBreakBefore w:val="0"/>
        <w:widowControl w:val="0"/>
        <w:kinsoku/>
        <w:wordWrap/>
        <w:overflowPunct/>
        <w:topLinePunct w:val="0"/>
        <w:autoSpaceDE/>
        <w:autoSpaceDN/>
        <w:bidi w:val="0"/>
        <w:spacing w:line="400" w:lineRule="exact"/>
        <w:ind w:firstLine="718" w:firstLineChars="342"/>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）按本章第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 xml:space="preserve">）目规定的评审因素和分值对投标报价计算出得分A； </w:t>
      </w:r>
    </w:p>
    <w:p>
      <w:pPr>
        <w:pageBreakBefore w:val="0"/>
        <w:widowControl w:val="0"/>
        <w:kinsoku/>
        <w:wordWrap/>
        <w:overflowPunct/>
        <w:topLinePunct w:val="0"/>
        <w:autoSpaceDE/>
        <w:autoSpaceDN/>
        <w:bidi w:val="0"/>
        <w:spacing w:line="400" w:lineRule="exact"/>
        <w:ind w:firstLine="718" w:firstLineChars="342"/>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）按本章第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）目规定的评审因素和分值对施工组织设计计算出得分</w:t>
      </w:r>
      <w:r>
        <w:rPr>
          <w:rFonts w:hint="eastAsia" w:ascii="宋体" w:hAnsi="宋体" w:cs="宋体"/>
          <w:color w:val="auto"/>
          <w:highlight w:val="none"/>
          <w:lang w:val="en-US" w:eastAsia="zh-CN"/>
        </w:rPr>
        <w:t>后，去掉一个最高分和一个最低分之后的算术平均值，得出得分</w:t>
      </w:r>
      <w:r>
        <w:rPr>
          <w:rFonts w:hint="eastAsia" w:ascii="宋体" w:hAnsi="宋体" w:cs="宋体"/>
          <w:color w:val="auto"/>
          <w:highlight w:val="none"/>
        </w:rPr>
        <w:t>B；</w:t>
      </w:r>
    </w:p>
    <w:p>
      <w:pPr>
        <w:pageBreakBefore w:val="0"/>
        <w:widowControl w:val="0"/>
        <w:kinsoku/>
        <w:wordWrap/>
        <w:overflowPunct/>
        <w:topLinePunct w:val="0"/>
        <w:autoSpaceDE/>
        <w:autoSpaceDN/>
        <w:bidi w:val="0"/>
        <w:spacing w:line="400" w:lineRule="exact"/>
        <w:ind w:firstLine="718" w:firstLineChars="342"/>
        <w:textAlignment w:val="auto"/>
        <w:outlineLvl w:val="9"/>
        <w:rPr>
          <w:rFonts w:hint="eastAsia"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）按本章第</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）目规定的评审因素和分值对项目管理机构及其他计算出得分</w:t>
      </w:r>
      <w:r>
        <w:rPr>
          <w:rFonts w:hint="eastAsia" w:ascii="宋体" w:hAnsi="宋体" w:cs="宋体"/>
          <w:color w:val="auto"/>
          <w:highlight w:val="none"/>
          <w:lang w:val="en-US" w:eastAsia="zh-CN"/>
        </w:rPr>
        <w:t>后，去掉一个最高分和一个最低分之后的算术平均值，得出得分</w:t>
      </w:r>
      <w:r>
        <w:rPr>
          <w:rFonts w:hint="eastAsia" w:ascii="宋体" w:hAnsi="宋体" w:cs="宋体"/>
          <w:color w:val="auto"/>
          <w:highlight w:val="none"/>
        </w:rPr>
        <w:t>C；</w:t>
      </w:r>
    </w:p>
    <w:p>
      <w:pPr>
        <w:pageBreakBefore w:val="0"/>
        <w:widowControl w:val="0"/>
        <w:kinsoku/>
        <w:wordWrap/>
        <w:overflowPunct/>
        <w:topLinePunct w:val="0"/>
        <w:autoSpaceDE/>
        <w:autoSpaceDN/>
        <w:bidi w:val="0"/>
        <w:spacing w:line="400" w:lineRule="exact"/>
        <w:ind w:firstLine="718" w:firstLineChars="342"/>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4</w:t>
      </w:r>
      <w:r>
        <w:rPr>
          <w:rFonts w:hint="eastAsia" w:ascii="宋体" w:hAnsi="宋体" w:cs="宋体"/>
          <w:color w:val="auto"/>
          <w:highlight w:val="none"/>
        </w:rPr>
        <w:t>）按本章第2.2.4（</w:t>
      </w:r>
      <w:r>
        <w:rPr>
          <w:rFonts w:hint="eastAsia" w:ascii="宋体" w:hAnsi="宋体" w:cs="宋体"/>
          <w:color w:val="auto"/>
          <w:highlight w:val="none"/>
          <w:lang w:val="en-US" w:eastAsia="zh-CN"/>
        </w:rPr>
        <w:t>4</w:t>
      </w:r>
      <w:r>
        <w:rPr>
          <w:rFonts w:hint="eastAsia" w:ascii="宋体" w:hAnsi="宋体" w:cs="宋体"/>
          <w:color w:val="auto"/>
          <w:highlight w:val="none"/>
        </w:rPr>
        <w:t>）目规定的评审因素和分值对综合信用评价计算出得分</w:t>
      </w:r>
      <w:r>
        <w:rPr>
          <w:rFonts w:hint="eastAsia" w:ascii="宋体" w:hAnsi="宋体" w:cs="宋体"/>
          <w:color w:val="auto"/>
          <w:highlight w:val="none"/>
          <w:lang w:val="en-US" w:eastAsia="zh-CN"/>
        </w:rPr>
        <w:t>D</w:t>
      </w:r>
      <w:r>
        <w:rPr>
          <w:rFonts w:hint="eastAsia" w:ascii="宋体" w:hAnsi="宋体" w:cs="宋体"/>
          <w:color w:val="auto"/>
          <w:highlight w:val="none"/>
        </w:rPr>
        <w:t>；</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评分分值计算保留小数点后两位，小数点后第三位“四舍五入”。</w:t>
      </w:r>
    </w:p>
    <w:p>
      <w:pPr>
        <w:pageBreakBefore w:val="0"/>
        <w:widowControl w:val="0"/>
        <w:kinsoku/>
        <w:wordWrap/>
        <w:overflowPunct/>
        <w:topLinePunct w:val="0"/>
        <w:autoSpaceDE/>
        <w:autoSpaceDN/>
        <w:bidi w:val="0"/>
        <w:spacing w:line="400" w:lineRule="exact"/>
        <w:ind w:firstLine="420" w:firstLineChars="200"/>
        <w:textAlignment w:val="auto"/>
        <w:outlineLvl w:val="9"/>
        <w:rPr>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cs="宋体"/>
          <w:color w:val="auto"/>
          <w:highlight w:val="none"/>
        </w:rPr>
        <w:t>4</w:t>
      </w:r>
      <w:r>
        <w:rPr>
          <w:rFonts w:hint="eastAsia" w:ascii="宋体" w:hAnsi="宋体"/>
          <w:color w:val="auto"/>
          <w:highlight w:val="none"/>
        </w:rPr>
        <w:t>评标委员会成员</w:t>
      </w:r>
      <w:r>
        <w:rPr>
          <w:rFonts w:ascii="宋体" w:hAnsi="宋体"/>
          <w:color w:val="auto"/>
          <w:highlight w:val="none"/>
        </w:rPr>
        <w:t>对各投标人的综合评分为其各分项得分之和</w:t>
      </w:r>
      <w:r>
        <w:rPr>
          <w:rFonts w:hint="eastAsia" w:ascii="宋体" w:hAnsi="宋体"/>
          <w:color w:val="auto"/>
          <w:highlight w:val="none"/>
        </w:rPr>
        <w:t>，即</w:t>
      </w:r>
      <w:r>
        <w:rPr>
          <w:rFonts w:hint="eastAsia"/>
          <w:color w:val="auto"/>
          <w:highlight w:val="none"/>
        </w:rPr>
        <w:t>投标人得分=A</w:t>
      </w:r>
      <w:r>
        <w:rPr>
          <w:rFonts w:hint="eastAsia" w:ascii="宋体" w:hAnsi="宋体" w:cs="宋体"/>
          <w:color w:val="auto"/>
          <w:szCs w:val="21"/>
          <w:highlight w:val="none"/>
        </w:rPr>
        <w:t>×投标报价权重</w:t>
      </w:r>
      <w:r>
        <w:rPr>
          <w:rFonts w:hint="eastAsia"/>
          <w:color w:val="auto"/>
          <w:highlight w:val="none"/>
        </w:rPr>
        <w:t>+B</w:t>
      </w:r>
      <w:r>
        <w:rPr>
          <w:rFonts w:hint="eastAsia" w:ascii="宋体" w:hAnsi="宋体" w:cs="宋体"/>
          <w:color w:val="auto"/>
          <w:szCs w:val="21"/>
          <w:highlight w:val="none"/>
        </w:rPr>
        <w:t>×施工组织设计权重</w:t>
      </w:r>
      <w:r>
        <w:rPr>
          <w:rFonts w:hint="eastAsia"/>
          <w:color w:val="auto"/>
          <w:highlight w:val="none"/>
        </w:rPr>
        <w:t>+C</w:t>
      </w:r>
      <w:r>
        <w:rPr>
          <w:rFonts w:hint="eastAsia" w:ascii="宋体" w:hAnsi="宋体" w:cs="宋体"/>
          <w:color w:val="auto"/>
          <w:szCs w:val="21"/>
          <w:highlight w:val="none"/>
        </w:rPr>
        <w:t>×项目管理机构及其他权重</w:t>
      </w:r>
      <w:r>
        <w:rPr>
          <w:rFonts w:hint="eastAsia" w:ascii="宋体" w:hAnsi="宋体" w:cs="宋体"/>
          <w:color w:val="auto"/>
          <w:szCs w:val="21"/>
          <w:highlight w:val="none"/>
          <w:lang w:val="en-US" w:eastAsia="zh-CN"/>
        </w:rPr>
        <w:t>+D</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综合信用评价权重</w:t>
      </w:r>
      <w:r>
        <w:rPr>
          <w:rFonts w:hint="eastAsia"/>
          <w:color w:val="auto"/>
          <w:highlight w:val="none"/>
        </w:rPr>
        <w:t>。</w:t>
      </w:r>
    </w:p>
    <w:p>
      <w:pPr>
        <w:pStyle w:val="32"/>
        <w:pageBreakBefore w:val="0"/>
        <w:widowControl w:val="0"/>
        <w:kinsoku/>
        <w:wordWrap/>
        <w:overflowPunct/>
        <w:topLinePunct w:val="0"/>
        <w:autoSpaceDE/>
        <w:autoSpaceDN/>
        <w:bidi w:val="0"/>
        <w:textAlignment w:val="auto"/>
        <w:outlineLvl w:val="9"/>
        <w:rPr>
          <w:color w:val="auto"/>
          <w:sz w:val="24"/>
          <w:szCs w:val="24"/>
          <w:highlight w:val="none"/>
        </w:rPr>
      </w:pPr>
      <w:bookmarkStart w:id="1397" w:name="_Toc109149851"/>
      <w:bookmarkStart w:id="1398" w:name="_Toc23027"/>
      <w:bookmarkStart w:id="1399" w:name="_Toc26257"/>
      <w:bookmarkStart w:id="1400" w:name="_Toc11888"/>
      <w:bookmarkStart w:id="1401" w:name="_Toc537003574"/>
      <w:bookmarkStart w:id="1402" w:name="_Toc9761"/>
      <w:bookmarkStart w:id="1403" w:name="_Toc23832"/>
      <w:bookmarkStart w:id="1404" w:name="_Toc20721"/>
      <w:bookmarkStart w:id="1405" w:name="_Toc1875715569"/>
      <w:r>
        <w:rPr>
          <w:rFonts w:hint="eastAsia"/>
          <w:color w:val="auto"/>
          <w:sz w:val="24"/>
          <w:szCs w:val="24"/>
          <w:highlight w:val="none"/>
        </w:rPr>
        <w:t>3.3 投标文件的澄清和补正</w:t>
      </w:r>
      <w:bookmarkEnd w:id="1397"/>
      <w:bookmarkEnd w:id="1398"/>
      <w:bookmarkEnd w:id="1399"/>
      <w:bookmarkEnd w:id="1400"/>
      <w:bookmarkEnd w:id="1401"/>
      <w:bookmarkEnd w:id="1402"/>
      <w:bookmarkEnd w:id="1403"/>
      <w:bookmarkEnd w:id="1404"/>
      <w:bookmarkEnd w:id="1405"/>
    </w:p>
    <w:p>
      <w:pPr>
        <w:pageBreakBefore w:val="0"/>
        <w:widowControl w:val="0"/>
        <w:kinsoku/>
        <w:wordWrap/>
        <w:overflowPunct/>
        <w:topLinePunct w:val="0"/>
        <w:autoSpaceDE/>
        <w:autoSpaceDN/>
        <w:bidi w:val="0"/>
        <w:spacing w:line="400" w:lineRule="exact"/>
        <w:ind w:firstLine="420" w:firstLineChars="200"/>
        <w:textAlignment w:val="auto"/>
        <w:outlineLvl w:val="9"/>
        <w:rPr>
          <w:color w:val="auto"/>
          <w:highlight w:val="none"/>
        </w:rPr>
      </w:pPr>
      <w:r>
        <w:rPr>
          <w:rFonts w:hint="eastAsia"/>
          <w:color w:val="auto"/>
          <w:highlight w:val="none"/>
        </w:rPr>
        <w:t>3.3.1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pageBreakBefore w:val="0"/>
        <w:widowControl w:val="0"/>
        <w:kinsoku/>
        <w:wordWrap/>
        <w:overflowPunct/>
        <w:topLinePunct w:val="0"/>
        <w:autoSpaceDE/>
        <w:autoSpaceDN/>
        <w:bidi w:val="0"/>
        <w:spacing w:line="400" w:lineRule="exact"/>
        <w:ind w:firstLine="420" w:firstLineChars="200"/>
        <w:textAlignment w:val="auto"/>
        <w:outlineLvl w:val="9"/>
        <w:rPr>
          <w:color w:val="auto"/>
          <w:highlight w:val="none"/>
        </w:rPr>
      </w:pPr>
      <w:r>
        <w:rPr>
          <w:rFonts w:hint="eastAsia"/>
          <w:color w:val="auto"/>
          <w:highlight w:val="none"/>
        </w:rPr>
        <w:t>3.3.2 澄清、说明和补正不得超出投标文件的范围且不得改变投标文件的实质性内容（算术错误修正的除外）。投标人的书面澄清、说明和补正属于投标文件的组成部分。</w:t>
      </w:r>
    </w:p>
    <w:p>
      <w:pPr>
        <w:pageBreakBefore w:val="0"/>
        <w:widowControl w:val="0"/>
        <w:kinsoku/>
        <w:wordWrap/>
        <w:overflowPunct/>
        <w:topLinePunct w:val="0"/>
        <w:autoSpaceDE/>
        <w:autoSpaceDN/>
        <w:bidi w:val="0"/>
        <w:spacing w:line="400" w:lineRule="exact"/>
        <w:ind w:firstLine="420" w:firstLineChars="200"/>
        <w:textAlignment w:val="auto"/>
        <w:outlineLvl w:val="9"/>
        <w:rPr>
          <w:color w:val="auto"/>
          <w:highlight w:val="none"/>
        </w:rPr>
      </w:pPr>
      <w:r>
        <w:rPr>
          <w:rFonts w:hint="eastAsia"/>
          <w:color w:val="auto"/>
          <w:highlight w:val="none"/>
        </w:rPr>
        <w:t>3.3.3 评标委员会对投标人提交的澄清、说明或补正有疑问的，可以要求投标人进一步澄清、说明或补正，直至满足评标委员会的要求。</w:t>
      </w:r>
    </w:p>
    <w:p>
      <w:pPr>
        <w:pageBreakBefore w:val="0"/>
        <w:widowControl w:val="0"/>
        <w:kinsoku/>
        <w:wordWrap/>
        <w:overflowPunct/>
        <w:topLinePunct w:val="0"/>
        <w:autoSpaceDE/>
        <w:autoSpaceDN/>
        <w:bidi w:val="0"/>
        <w:spacing w:line="400" w:lineRule="exact"/>
        <w:ind w:firstLine="420" w:firstLineChars="200"/>
        <w:textAlignment w:val="auto"/>
        <w:outlineLvl w:val="9"/>
        <w:rPr>
          <w:color w:val="auto"/>
          <w:highlight w:val="none"/>
        </w:rPr>
      </w:pPr>
      <w:r>
        <w:rPr>
          <w:rFonts w:hint="eastAsia"/>
          <w:color w:val="auto"/>
          <w:highlight w:val="none"/>
        </w:rPr>
        <w:t>3.3.4评标委员会要求投标人对投标文件问题澄清的通知，以及投标人对投标文件的澄清通过“电子交易平台”进行。</w:t>
      </w:r>
    </w:p>
    <w:p>
      <w:pPr>
        <w:pStyle w:val="32"/>
        <w:pageBreakBefore w:val="0"/>
        <w:widowControl w:val="0"/>
        <w:kinsoku/>
        <w:wordWrap/>
        <w:overflowPunct/>
        <w:topLinePunct w:val="0"/>
        <w:autoSpaceDE/>
        <w:autoSpaceDN/>
        <w:bidi w:val="0"/>
        <w:textAlignment w:val="auto"/>
        <w:outlineLvl w:val="9"/>
        <w:rPr>
          <w:color w:val="auto"/>
          <w:sz w:val="24"/>
          <w:szCs w:val="24"/>
          <w:highlight w:val="none"/>
        </w:rPr>
      </w:pPr>
      <w:bookmarkStart w:id="1406" w:name="_Toc7923"/>
      <w:bookmarkStart w:id="1407" w:name="_Toc109149852"/>
      <w:bookmarkStart w:id="1408" w:name="_Toc12699"/>
      <w:bookmarkStart w:id="1409" w:name="_Toc20295"/>
      <w:bookmarkStart w:id="1410" w:name="_Toc8880"/>
      <w:bookmarkStart w:id="1411" w:name="_Toc1559076682"/>
      <w:bookmarkStart w:id="1412" w:name="_Toc2325"/>
      <w:bookmarkStart w:id="1413" w:name="_Toc2517"/>
      <w:bookmarkStart w:id="1414" w:name="_Toc1806580677"/>
      <w:r>
        <w:rPr>
          <w:rFonts w:hint="eastAsia"/>
          <w:color w:val="auto"/>
          <w:sz w:val="24"/>
          <w:szCs w:val="24"/>
          <w:highlight w:val="none"/>
        </w:rPr>
        <w:t>3.4 评标结果</w:t>
      </w:r>
      <w:bookmarkEnd w:id="1406"/>
      <w:bookmarkEnd w:id="1407"/>
      <w:bookmarkEnd w:id="1408"/>
      <w:bookmarkEnd w:id="1409"/>
      <w:bookmarkEnd w:id="1410"/>
      <w:bookmarkEnd w:id="1411"/>
      <w:bookmarkEnd w:id="1412"/>
      <w:bookmarkEnd w:id="1413"/>
      <w:bookmarkEnd w:id="1414"/>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 xml:space="preserve"> 评标委员会</w:t>
      </w:r>
      <w:r>
        <w:rPr>
          <w:rFonts w:hint="eastAsia" w:ascii="宋体" w:hAnsi="宋体"/>
          <w:color w:val="auto"/>
          <w:highlight w:val="none"/>
        </w:rPr>
        <w:t>按照</w:t>
      </w:r>
      <w:r>
        <w:rPr>
          <w:rFonts w:ascii="宋体" w:hAnsi="宋体"/>
          <w:color w:val="auto"/>
          <w:highlight w:val="none"/>
        </w:rPr>
        <w:t>投标人的最终</w:t>
      </w:r>
      <w:r>
        <w:rPr>
          <w:rFonts w:hint="eastAsia"/>
          <w:color w:val="auto"/>
          <w:highlight w:val="none"/>
        </w:rPr>
        <w:t>得分</w:t>
      </w:r>
      <w:r>
        <w:rPr>
          <w:rFonts w:hint="eastAsia" w:ascii="宋体" w:hAnsi="宋体" w:cs="宋体"/>
          <w:color w:val="auto"/>
          <w:highlight w:val="none"/>
        </w:rPr>
        <w:t>由高到低的顺序推荐不超过</w:t>
      </w:r>
      <w:r>
        <w:rPr>
          <w:rFonts w:hint="eastAsia" w:cs="宋体"/>
          <w:color w:val="auto"/>
          <w:highlight w:val="none"/>
        </w:rPr>
        <w:t>3</w:t>
      </w:r>
      <w:r>
        <w:rPr>
          <w:rFonts w:hint="eastAsia" w:ascii="宋体" w:hAnsi="宋体" w:cs="宋体"/>
          <w:color w:val="auto"/>
          <w:highlight w:val="none"/>
        </w:rPr>
        <w:t>名中标候选人，并标明推荐顺序。或根据招标人授权直接确定中标人，但投标报价低于其成本的除外。</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 xml:space="preserve"> 评标委员会完成评标后，应当向招标人提交书面评标报告。</w:t>
      </w:r>
      <w:r>
        <w:rPr>
          <w:rFonts w:hint="eastAsia" w:ascii="宋体" w:hAnsi="宋体"/>
          <w:color w:val="auto"/>
          <w:szCs w:val="21"/>
          <w:highlight w:val="none"/>
        </w:rPr>
        <w:t>评标报告应当由全体评标委</w:t>
      </w:r>
      <w:r>
        <w:rPr>
          <w:rFonts w:hint="eastAsia" w:ascii="宋体" w:hAnsi="宋体" w:cs="宋体"/>
          <w:color w:val="auto"/>
          <w:highlight w:val="none"/>
        </w:rPr>
        <w:t>员会成员签字。评标报告应当包括以下内容：</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）基本情况；</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）评标委员会成员名单；</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）开标记录；</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4</w:t>
      </w:r>
      <w:r>
        <w:rPr>
          <w:rFonts w:hint="eastAsia" w:ascii="宋体" w:hAnsi="宋体" w:cs="宋体"/>
          <w:color w:val="auto"/>
          <w:highlight w:val="none"/>
        </w:rPr>
        <w:t>）符合要求的投标一览表；</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5</w:t>
      </w:r>
      <w:r>
        <w:rPr>
          <w:rFonts w:hint="eastAsia" w:ascii="宋体" w:hAnsi="宋体" w:cs="宋体"/>
          <w:color w:val="auto"/>
          <w:highlight w:val="none"/>
        </w:rPr>
        <w:t>）被否决投标的情况说明；</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6</w:t>
      </w:r>
      <w:r>
        <w:rPr>
          <w:rFonts w:hint="eastAsia" w:ascii="宋体" w:hAnsi="宋体" w:cs="宋体"/>
          <w:color w:val="auto"/>
          <w:highlight w:val="none"/>
        </w:rPr>
        <w:t>）评标标准、评标方法或者评标因素一览表；</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7</w:t>
      </w:r>
      <w:r>
        <w:rPr>
          <w:rFonts w:hint="eastAsia" w:ascii="宋体" w:hAnsi="宋体" w:cs="宋体"/>
          <w:color w:val="auto"/>
          <w:highlight w:val="none"/>
        </w:rPr>
        <w:t>）经评审的价格一览表(包括评标委员会在评标过程中所形成的所有记载评标结果、结论的表格、说明、记录等文件)；</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8</w:t>
      </w:r>
      <w:r>
        <w:rPr>
          <w:rFonts w:hint="eastAsia" w:ascii="宋体" w:hAnsi="宋体" w:cs="宋体"/>
          <w:color w:val="auto"/>
          <w:highlight w:val="none"/>
        </w:rPr>
        <w:t>）经评审的投标人排序；</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9</w:t>
      </w:r>
      <w:r>
        <w:rPr>
          <w:rFonts w:hint="eastAsia" w:ascii="宋体" w:hAnsi="宋体" w:cs="宋体"/>
          <w:color w:val="auto"/>
          <w:highlight w:val="none"/>
        </w:rPr>
        <w:t>）推荐的中标候选人名单(如果第二章“投标人须知”前附表授权评标委员会直接确定中标人，则为“确定的中标人”)与签订合同前要处理的事宜；</w:t>
      </w:r>
    </w:p>
    <w:p>
      <w:pPr>
        <w:pageBreakBefore w:val="0"/>
        <w:widowControl w:val="0"/>
        <w:kinsoku/>
        <w:wordWrap/>
        <w:overflowPunct/>
        <w:topLinePunct w:val="0"/>
        <w:autoSpaceDE/>
        <w:autoSpaceDN/>
        <w:bidi w:val="0"/>
        <w:spacing w:line="400" w:lineRule="exact"/>
        <w:ind w:firstLine="420" w:firstLineChars="200"/>
        <w:textAlignment w:val="auto"/>
        <w:outlineLvl w:val="9"/>
        <w:rPr>
          <w:rFonts w:ascii="宋体" w:hAnsi="宋体" w:cs="宋体"/>
          <w:color w:val="auto"/>
          <w:highlight w:val="none"/>
        </w:rPr>
      </w:pPr>
      <w:r>
        <w:rPr>
          <w:rFonts w:hint="eastAsia" w:ascii="宋体" w:hAnsi="宋体" w:cs="宋体"/>
          <w:color w:val="auto"/>
          <w:highlight w:val="none"/>
        </w:rPr>
        <w:t>（</w:t>
      </w:r>
      <w:r>
        <w:rPr>
          <w:rFonts w:hint="eastAsia" w:cs="宋体"/>
          <w:color w:val="auto"/>
          <w:highlight w:val="none"/>
        </w:rPr>
        <w:t>10</w:t>
      </w:r>
      <w:r>
        <w:rPr>
          <w:rFonts w:hint="eastAsia" w:ascii="宋体" w:hAnsi="宋体" w:cs="宋体"/>
          <w:color w:val="auto"/>
          <w:highlight w:val="none"/>
        </w:rPr>
        <w:t>）澄清、说明、补正事项纪要。</w:t>
      </w:r>
    </w:p>
    <w:p>
      <w:pPr>
        <w:pStyle w:val="32"/>
        <w:pageBreakBefore w:val="0"/>
        <w:widowControl w:val="0"/>
        <w:kinsoku/>
        <w:wordWrap/>
        <w:overflowPunct/>
        <w:topLinePunct w:val="0"/>
        <w:autoSpaceDE/>
        <w:autoSpaceDN/>
        <w:bidi w:val="0"/>
        <w:textAlignment w:val="auto"/>
        <w:outlineLvl w:val="9"/>
        <w:rPr>
          <w:color w:val="auto"/>
          <w:sz w:val="24"/>
          <w:szCs w:val="24"/>
          <w:highlight w:val="none"/>
        </w:rPr>
      </w:pPr>
      <w:bookmarkStart w:id="1415" w:name="_Toc959965981"/>
      <w:bookmarkStart w:id="1416" w:name="_Toc17153"/>
      <w:bookmarkStart w:id="1417" w:name="_Toc16300"/>
      <w:bookmarkStart w:id="1418" w:name="_Toc7214"/>
      <w:bookmarkStart w:id="1419" w:name="_Toc23659"/>
      <w:bookmarkStart w:id="1420" w:name="_Toc29947"/>
      <w:bookmarkStart w:id="1421" w:name="_Toc26954"/>
      <w:bookmarkStart w:id="1422" w:name="_Toc109149853"/>
      <w:bookmarkStart w:id="1423" w:name="_Toc1039700637"/>
      <w:r>
        <w:rPr>
          <w:rFonts w:hint="eastAsia"/>
          <w:color w:val="auto"/>
          <w:sz w:val="24"/>
          <w:szCs w:val="24"/>
          <w:highlight w:val="none"/>
        </w:rPr>
        <w:t>3.5 评标的有关规定</w:t>
      </w:r>
      <w:bookmarkEnd w:id="1415"/>
      <w:bookmarkEnd w:id="1416"/>
      <w:bookmarkEnd w:id="1417"/>
      <w:bookmarkEnd w:id="1418"/>
      <w:bookmarkEnd w:id="1419"/>
      <w:bookmarkEnd w:id="1420"/>
      <w:bookmarkEnd w:id="1421"/>
      <w:bookmarkEnd w:id="1422"/>
      <w:bookmarkEnd w:id="1423"/>
    </w:p>
    <w:p>
      <w:pPr>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ascii="宋体" w:hAnsi="宋体"/>
          <w:color w:val="auto"/>
          <w:szCs w:val="21"/>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5</w:t>
      </w: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评</w:t>
      </w:r>
      <w:r>
        <w:rPr>
          <w:rFonts w:hint="eastAsia" w:ascii="宋体" w:hAnsi="宋体"/>
          <w:color w:val="auto"/>
          <w:szCs w:val="21"/>
          <w:highlight w:val="none"/>
        </w:rPr>
        <w:t>标委员会应当执行连续评标的原则，按评标办法中规定的程序、内容、方法、标准完成全部评标工作。只有发生不可抗力导致评标工作无法继续时，评标活动方可暂停。</w:t>
      </w:r>
    </w:p>
    <w:p>
      <w:pPr>
        <w:pageBreakBefore w:val="0"/>
        <w:widowControl w:val="0"/>
        <w:kinsoku/>
        <w:wordWrap/>
        <w:overflowPunct/>
        <w:topLinePunct w:val="0"/>
        <w:autoSpaceDE/>
        <w:autoSpaceDN/>
        <w:bidi w:val="0"/>
        <w:adjustRightInd w:val="0"/>
        <w:snapToGrid w:val="0"/>
        <w:spacing w:beforeLines="20" w:line="440" w:lineRule="exact"/>
        <w:ind w:firstLine="525" w:firstLineChars="250"/>
        <w:textAlignment w:val="auto"/>
        <w:outlineLvl w:val="9"/>
        <w:rPr>
          <w:rFonts w:ascii="宋体" w:hAnsi="宋体"/>
          <w:color w:val="auto"/>
          <w:szCs w:val="21"/>
          <w:highlight w:val="none"/>
        </w:rPr>
      </w:pPr>
      <w:r>
        <w:rPr>
          <w:rFonts w:hint="eastAsia" w:ascii="宋体" w:hAnsi="宋体"/>
          <w:color w:val="auto"/>
          <w:szCs w:val="21"/>
          <w:highlight w:val="none"/>
        </w:rPr>
        <w:t>发生评标暂停情况时，评标委员会应当封存全部投标文件和评标记录，待不可抗力的影响结束且具备继续评标的条件时，由原评标委员会继续评标。</w:t>
      </w:r>
    </w:p>
    <w:p>
      <w:pPr>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5</w:t>
      </w: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 xml:space="preserve"> 除非发生下列情况之一，评标委员会成员不得在评标中途更换：</w:t>
      </w:r>
    </w:p>
    <w:p>
      <w:pPr>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ascii="宋体" w:hAnsi="宋体"/>
          <w:color w:val="auto"/>
          <w:szCs w:val="21"/>
          <w:highlight w:val="none"/>
        </w:rPr>
      </w:pP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w:t>
      </w:r>
      <w:r>
        <w:rPr>
          <w:rFonts w:hint="eastAsia" w:ascii="宋体" w:hAnsi="宋体"/>
          <w:color w:val="auto"/>
          <w:szCs w:val="21"/>
          <w:highlight w:val="none"/>
        </w:rPr>
        <w:t>因不可抗拒的客观原因，不能到场或需在评标中途退出评标活动。</w:t>
      </w:r>
    </w:p>
    <w:p>
      <w:pPr>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ascii="宋体" w:hAnsi="宋体"/>
          <w:color w:val="auto"/>
          <w:szCs w:val="21"/>
          <w:highlight w:val="none"/>
        </w:rPr>
      </w:pP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ascii="宋体" w:hAnsi="宋体"/>
          <w:color w:val="auto"/>
          <w:szCs w:val="21"/>
          <w:highlight w:val="none"/>
        </w:rPr>
        <w:t>根据法律法规规定，某个或某几个评标委员会成员需要回避。</w:t>
      </w:r>
    </w:p>
    <w:p>
      <w:pPr>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ascii="宋体" w:hAnsi="宋体"/>
          <w:color w:val="auto"/>
          <w:szCs w:val="21"/>
          <w:highlight w:val="none"/>
        </w:rPr>
      </w:pPr>
      <w:r>
        <w:rPr>
          <w:rFonts w:hint="eastAsia" w:ascii="宋体" w:hAnsi="宋体"/>
          <w:color w:val="auto"/>
          <w:szCs w:val="21"/>
          <w:highlight w:val="none"/>
        </w:rPr>
        <w:t>退出评标的评标委员会成员，其已完成的评标行为无效。由招标人根据本招标文件规定的评标委员会成员生产方式另行确定替代者进行评标。</w:t>
      </w:r>
    </w:p>
    <w:p>
      <w:pPr>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ascii="宋体" w:hAnsi="宋体" w:cs="宋体"/>
          <w:color w:val="auto"/>
          <w:highlight w:val="none"/>
        </w:rPr>
      </w:pPr>
      <w:r>
        <w:rPr>
          <w:rFonts w:hint="eastAsia" w:cs="宋体"/>
          <w:color w:val="auto"/>
          <w:highlight w:val="none"/>
        </w:rPr>
        <w:t>3</w:t>
      </w:r>
      <w:r>
        <w:rPr>
          <w:rFonts w:hint="eastAsia" w:ascii="宋体" w:hAnsi="宋体" w:cs="宋体"/>
          <w:color w:val="auto"/>
          <w:highlight w:val="none"/>
        </w:rPr>
        <w:t>.</w:t>
      </w:r>
      <w:r>
        <w:rPr>
          <w:rFonts w:hint="eastAsia" w:cs="宋体"/>
          <w:color w:val="auto"/>
          <w:highlight w:val="none"/>
        </w:rPr>
        <w:t>5</w:t>
      </w: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 xml:space="preserve"> 评标争议处理</w:t>
      </w:r>
    </w:p>
    <w:p>
      <w:pPr>
        <w:pageBreakBefore w:val="0"/>
        <w:widowControl w:val="0"/>
        <w:kinsoku/>
        <w:wordWrap/>
        <w:overflowPunct/>
        <w:topLinePunct w:val="0"/>
        <w:autoSpaceDE/>
        <w:autoSpaceDN/>
        <w:bidi w:val="0"/>
        <w:spacing w:line="430" w:lineRule="exact"/>
        <w:ind w:firstLine="420" w:firstLineChars="200"/>
        <w:textAlignment w:val="auto"/>
        <w:outlineLvl w:val="9"/>
        <w:rPr>
          <w:rFonts w:ascii="宋体" w:hAnsi="宋体"/>
          <w:color w:val="auto"/>
          <w:szCs w:val="21"/>
          <w:highlight w:val="none"/>
        </w:rPr>
      </w:pPr>
      <w:r>
        <w:rPr>
          <w:rFonts w:hint="eastAsia" w:ascii="宋体" w:hAnsi="宋体" w:cs="宋体"/>
          <w:color w:val="auto"/>
          <w:highlight w:val="none"/>
        </w:rPr>
        <w:t>（</w:t>
      </w:r>
      <w:r>
        <w:rPr>
          <w:rFonts w:hint="eastAsia" w:cs="宋体"/>
          <w:color w:val="auto"/>
          <w:highlight w:val="none"/>
        </w:rPr>
        <w:t>1</w:t>
      </w:r>
      <w:r>
        <w:rPr>
          <w:rFonts w:hint="eastAsia" w:ascii="宋体" w:hAnsi="宋体" w:cs="宋体"/>
          <w:color w:val="auto"/>
          <w:highlight w:val="none"/>
        </w:rPr>
        <w:t>）</w:t>
      </w:r>
      <w:r>
        <w:rPr>
          <w:rFonts w:hint="eastAsia" w:ascii="宋体" w:hAnsi="宋体"/>
          <w:color w:val="auto"/>
          <w:szCs w:val="21"/>
          <w:highlight w:val="none"/>
        </w:rPr>
        <w:t>评标委员会全体成员应独立评审，对所提出的评审意见承担个人责任。</w:t>
      </w:r>
    </w:p>
    <w:p>
      <w:pPr>
        <w:pageBreakBefore w:val="0"/>
        <w:widowControl w:val="0"/>
        <w:kinsoku/>
        <w:wordWrap/>
        <w:overflowPunct/>
        <w:topLinePunct w:val="0"/>
        <w:autoSpaceDE/>
        <w:autoSpaceDN/>
        <w:bidi w:val="0"/>
        <w:spacing w:line="430" w:lineRule="exact"/>
        <w:ind w:firstLine="420" w:firstLineChars="200"/>
        <w:textAlignment w:val="auto"/>
        <w:outlineLvl w:val="9"/>
        <w:rPr>
          <w:rFonts w:ascii="宋体" w:hAnsi="宋体"/>
          <w:color w:val="auto"/>
          <w:szCs w:val="21"/>
          <w:highlight w:val="none"/>
        </w:rPr>
      </w:pPr>
      <w:r>
        <w:rPr>
          <w:rFonts w:hint="eastAsia" w:ascii="宋体" w:hAnsi="宋体" w:cs="宋体"/>
          <w:color w:val="auto"/>
          <w:highlight w:val="none"/>
        </w:rPr>
        <w:t>（</w:t>
      </w:r>
      <w:r>
        <w:rPr>
          <w:rFonts w:hint="eastAsia" w:cs="宋体"/>
          <w:color w:val="auto"/>
          <w:highlight w:val="none"/>
        </w:rPr>
        <w:t>2</w:t>
      </w:r>
      <w:r>
        <w:rPr>
          <w:rFonts w:hint="eastAsia" w:ascii="宋体" w:hAnsi="宋体" w:cs="宋体"/>
          <w:color w:val="auto"/>
          <w:highlight w:val="none"/>
        </w:rPr>
        <w:t>）</w:t>
      </w:r>
      <w:r>
        <w:rPr>
          <w:rFonts w:hint="eastAsia" w:ascii="宋体" w:hAnsi="宋体"/>
          <w:color w:val="auto"/>
          <w:szCs w:val="21"/>
          <w:highlight w:val="none"/>
        </w:rPr>
        <w:t>在任何评标环节中，需评标委员会就某项定性的评审结论做出表决的，由评标委员会全体成员按照少数服从多数的原则，以记名投票方式表决。表决不得违背法律、法规、规章和招标文件的规定。</w:t>
      </w:r>
    </w:p>
    <w:p>
      <w:pPr>
        <w:pageBreakBefore w:val="0"/>
        <w:widowControl w:val="0"/>
        <w:kinsoku/>
        <w:wordWrap/>
        <w:overflowPunct/>
        <w:topLinePunct w:val="0"/>
        <w:autoSpaceDE/>
        <w:autoSpaceDN/>
        <w:bidi w:val="0"/>
        <w:adjustRightInd w:val="0"/>
        <w:snapToGrid w:val="0"/>
        <w:spacing w:line="440" w:lineRule="exact"/>
        <w:ind w:firstLine="420" w:firstLineChars="200"/>
        <w:textAlignment w:val="auto"/>
        <w:outlineLvl w:val="9"/>
        <w:rPr>
          <w:rFonts w:ascii="宋体" w:hAnsi="宋体" w:cs="宋体"/>
          <w:color w:val="auto"/>
          <w:szCs w:val="21"/>
          <w:highlight w:val="none"/>
        </w:rPr>
      </w:pPr>
      <w:r>
        <w:rPr>
          <w:rFonts w:hint="eastAsia" w:ascii="宋体" w:hAnsi="宋体" w:cs="宋体"/>
          <w:color w:val="auto"/>
          <w:highlight w:val="none"/>
        </w:rPr>
        <w:t>（</w:t>
      </w:r>
      <w:r>
        <w:rPr>
          <w:rFonts w:hint="eastAsia" w:cs="宋体"/>
          <w:color w:val="auto"/>
          <w:highlight w:val="none"/>
        </w:rPr>
        <w:t>3</w:t>
      </w:r>
      <w:r>
        <w:rPr>
          <w:rFonts w:hint="eastAsia" w:ascii="宋体" w:hAnsi="宋体" w:cs="宋体"/>
          <w:color w:val="auto"/>
          <w:highlight w:val="none"/>
        </w:rPr>
        <w:t>）</w:t>
      </w:r>
      <w:r>
        <w:rPr>
          <w:rFonts w:hint="eastAsia"/>
          <w:color w:val="auto"/>
          <w:highlight w:val="none"/>
        </w:rPr>
        <w:t>评标委员会成员对书面决议或评审结论持有异议的，</w:t>
      </w:r>
      <w:r>
        <w:rPr>
          <w:rFonts w:hint="eastAsia" w:ascii="宋体" w:hAnsi="宋体"/>
          <w:color w:val="auto"/>
          <w:highlight w:val="none"/>
        </w:rPr>
        <w:t>可以</w:t>
      </w:r>
      <w:r>
        <w:rPr>
          <w:rFonts w:hint="eastAsia"/>
          <w:color w:val="auto"/>
          <w:highlight w:val="none"/>
        </w:rPr>
        <w:t>书面阐述其不同意见和理由。拒绝在书面决议或评标报告上签名，且不陈述其不同意见和理由的，视为同意书面决议或评标结论，评标委员会应当</w:t>
      </w:r>
      <w:r>
        <w:rPr>
          <w:rFonts w:hint="eastAsia" w:ascii="宋体" w:hAnsi="宋体"/>
          <w:color w:val="auto"/>
          <w:highlight w:val="none"/>
        </w:rPr>
        <w:t>对此</w:t>
      </w:r>
      <w:r>
        <w:rPr>
          <w:rFonts w:hint="eastAsia"/>
          <w:color w:val="auto"/>
          <w:highlight w:val="none"/>
        </w:rPr>
        <w:t>在评标报告中做出书面说明。</w:t>
      </w:r>
    </w:p>
    <w:p>
      <w:pPr>
        <w:pageBreakBefore w:val="0"/>
        <w:widowControl w:val="0"/>
        <w:kinsoku/>
        <w:wordWrap/>
        <w:overflowPunct/>
        <w:topLinePunct w:val="0"/>
        <w:autoSpaceDE/>
        <w:autoSpaceDN/>
        <w:bidi w:val="0"/>
        <w:spacing w:line="440" w:lineRule="exact"/>
        <w:jc w:val="center"/>
        <w:textAlignment w:val="auto"/>
        <w:outlineLvl w:val="9"/>
        <w:rPr>
          <w:rFonts w:ascii="宋体" w:hAnsi="宋体" w:cs="宋体"/>
          <w:color w:val="auto"/>
          <w:szCs w:val="21"/>
          <w:highlight w:val="none"/>
        </w:rPr>
      </w:pPr>
    </w:p>
    <w:p>
      <w:pPr>
        <w:pStyle w:val="30"/>
        <w:pageBreakBefore w:val="0"/>
        <w:widowControl w:val="0"/>
        <w:kinsoku/>
        <w:wordWrap/>
        <w:overflowPunct/>
        <w:topLinePunct w:val="0"/>
        <w:autoSpaceDE/>
        <w:autoSpaceDN/>
        <w:bidi w:val="0"/>
        <w:textAlignment w:val="auto"/>
        <w:outlineLvl w:val="9"/>
        <w:rPr>
          <w:color w:val="auto"/>
          <w:highlight w:val="none"/>
        </w:rPr>
      </w:pPr>
    </w:p>
    <w:p>
      <w:pPr>
        <w:pageBreakBefore w:val="0"/>
        <w:widowControl w:val="0"/>
        <w:kinsoku/>
        <w:wordWrap/>
        <w:overflowPunct/>
        <w:topLinePunct w:val="0"/>
        <w:autoSpaceDE/>
        <w:autoSpaceDN/>
        <w:bidi w:val="0"/>
        <w:textAlignment w:val="auto"/>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bookmarkStart w:id="1424" w:name="_Toc152409184"/>
      <w:bookmarkStart w:id="1425" w:name="_Toc28374"/>
      <w:bookmarkStart w:id="1426" w:name="_Toc25651"/>
      <w:bookmarkStart w:id="1427" w:name="_Toc648920639"/>
      <w:bookmarkStart w:id="1428" w:name="_Toc13390"/>
      <w:bookmarkStart w:id="1429" w:name="_Toc30702"/>
      <w:bookmarkStart w:id="1430" w:name="_Toc1328"/>
    </w:p>
    <w:bookmarkEnd w:id="1424"/>
    <w:bookmarkEnd w:id="1425"/>
    <w:bookmarkEnd w:id="1426"/>
    <w:bookmarkEnd w:id="1427"/>
    <w:bookmarkEnd w:id="1428"/>
    <w:bookmarkEnd w:id="1429"/>
    <w:bookmarkEnd w:id="1430"/>
    <w:p>
      <w:pPr>
        <w:spacing w:line="360" w:lineRule="auto"/>
        <w:outlineLvl w:val="9"/>
        <w:rPr>
          <w:color w:val="auto"/>
          <w:highlight w:val="none"/>
        </w:rPr>
      </w:pPr>
    </w:p>
    <w:p>
      <w:pPr>
        <w:pStyle w:val="30"/>
        <w:ind w:firstLine="0" w:firstLineChars="0"/>
        <w:outlineLvl w:val="9"/>
        <w:rPr>
          <w:color w:val="auto"/>
          <w:highlight w:val="none"/>
        </w:rPr>
      </w:pPr>
    </w:p>
    <w:p>
      <w:pPr>
        <w:rPr>
          <w:rFonts w:hint="eastAsia" w:ascii="黑体" w:hAnsi="黑体" w:eastAsia="黑体"/>
          <w:color w:val="auto"/>
          <w:sz w:val="32"/>
          <w:highlight w:val="none"/>
        </w:rPr>
      </w:pPr>
      <w:bookmarkStart w:id="1431" w:name="_Toc25811"/>
      <w:bookmarkStart w:id="1432" w:name="_Toc222029500"/>
      <w:bookmarkStart w:id="1433" w:name="_Toc144974577"/>
      <w:bookmarkStart w:id="1434" w:name="_Toc26575"/>
      <w:bookmarkStart w:id="1435" w:name="_Toc229305360"/>
      <w:bookmarkStart w:id="1436" w:name="_Toc387753581"/>
      <w:bookmarkStart w:id="1437" w:name="_Toc331794508"/>
      <w:bookmarkStart w:id="1438" w:name="_Toc13243"/>
      <w:bookmarkStart w:id="1439" w:name="_Toc222032669"/>
      <w:bookmarkStart w:id="1440" w:name="_Toc168475724"/>
      <w:bookmarkStart w:id="1441" w:name="_Toc249338456"/>
      <w:bookmarkStart w:id="1442" w:name="_Toc222031002"/>
      <w:bookmarkStart w:id="1443" w:name="_Toc12978"/>
      <w:bookmarkStart w:id="1444" w:name="_Toc222033851"/>
      <w:bookmarkStart w:id="1445" w:name="_Toc221950660"/>
      <w:bookmarkStart w:id="1446" w:name="_Toc168476127"/>
      <w:bookmarkStart w:id="1447" w:name="_Toc27350"/>
      <w:bookmarkStart w:id="1448" w:name="_Toc144974834"/>
      <w:bookmarkStart w:id="1449" w:name="_Toc168475890"/>
      <w:bookmarkStart w:id="1450" w:name="_Toc168476293"/>
      <w:r>
        <w:rPr>
          <w:rFonts w:hint="eastAsia" w:ascii="黑体" w:hAnsi="黑体" w:eastAsia="黑体"/>
          <w:color w:val="auto"/>
          <w:sz w:val="32"/>
          <w:highlight w:val="none"/>
        </w:rPr>
        <w:br w:type="page"/>
      </w:r>
    </w:p>
    <w:p>
      <w:pPr>
        <w:jc w:val="center"/>
        <w:outlineLvl w:val="1"/>
        <w:rPr>
          <w:rFonts w:ascii="黑体" w:hAnsi="黑体" w:eastAsia="黑体"/>
          <w:color w:val="auto"/>
          <w:sz w:val="32"/>
          <w:highlight w:val="none"/>
        </w:rPr>
      </w:pPr>
      <w:bookmarkStart w:id="1451" w:name="_Toc25727"/>
      <w:r>
        <w:rPr>
          <w:rFonts w:hint="eastAsia" w:ascii="黑体" w:hAnsi="黑体" w:eastAsia="黑体"/>
          <w:color w:val="auto"/>
          <w:sz w:val="32"/>
          <w:highlight w:val="none"/>
          <w:lang w:eastAsia="zh-CN"/>
        </w:rPr>
        <w:t>第四章</w:t>
      </w:r>
      <w:r>
        <w:rPr>
          <w:rFonts w:hint="eastAsia" w:ascii="黑体" w:hAnsi="黑体" w:eastAsia="黑体"/>
          <w:color w:val="auto"/>
          <w:sz w:val="32"/>
          <w:highlight w:val="none"/>
        </w:rPr>
        <w:t xml:space="preserve"> 合同条款及格式</w:t>
      </w:r>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51"/>
    </w:p>
    <w:p>
      <w:pPr>
        <w:rPr>
          <w:rFonts w:ascii="宋体" w:hAnsi="宋体" w:cs="宋体"/>
          <w:color w:val="auto"/>
          <w:highlight w:val="none"/>
        </w:rPr>
      </w:pPr>
    </w:p>
    <w:p>
      <w:pPr>
        <w:pStyle w:val="4"/>
        <w:jc w:val="center"/>
        <w:rPr>
          <w:b w:val="0"/>
          <w:bCs w:val="0"/>
          <w:color w:val="auto"/>
          <w:sz w:val="30"/>
          <w:szCs w:val="30"/>
          <w:highlight w:val="none"/>
        </w:rPr>
      </w:pPr>
      <w:bookmarkStart w:id="1452" w:name="_Toc4870"/>
      <w:bookmarkStart w:id="1453" w:name="_Toc1515"/>
      <w:bookmarkStart w:id="1454" w:name="_Toc376009894"/>
      <w:bookmarkStart w:id="1455" w:name="_Toc2093183256"/>
      <w:bookmarkStart w:id="1456" w:name="_Toc4750"/>
      <w:bookmarkStart w:id="1457" w:name="_Toc12651"/>
      <w:bookmarkStart w:id="1458" w:name="_Toc11108"/>
      <w:bookmarkStart w:id="1459" w:name="_Toc17919"/>
      <w:bookmarkStart w:id="1460" w:name="_Toc229305361"/>
      <w:bookmarkStart w:id="1461" w:name="_Toc221948339"/>
      <w:bookmarkStart w:id="1462" w:name="_Toc222032670"/>
      <w:bookmarkStart w:id="1463" w:name="_Toc387753582"/>
      <w:bookmarkStart w:id="1464" w:name="_Toc221950661"/>
      <w:bookmarkStart w:id="1465" w:name="_Toc222029501"/>
      <w:bookmarkStart w:id="1466" w:name="_Toc222031003"/>
      <w:bookmarkStart w:id="1467" w:name="_Toc222033852"/>
      <w:r>
        <w:rPr>
          <w:rFonts w:hint="eastAsia"/>
          <w:b w:val="0"/>
          <w:bCs w:val="0"/>
          <w:color w:val="auto"/>
          <w:sz w:val="30"/>
          <w:szCs w:val="30"/>
          <w:highlight w:val="none"/>
        </w:rPr>
        <w:t>第一部分 合同协议书</w:t>
      </w:r>
      <w:bookmarkEnd w:id="1452"/>
      <w:bookmarkEnd w:id="1453"/>
      <w:bookmarkEnd w:id="1454"/>
      <w:bookmarkEnd w:id="1455"/>
      <w:bookmarkEnd w:id="1456"/>
      <w:bookmarkEnd w:id="1457"/>
      <w:bookmarkEnd w:id="1458"/>
      <w:bookmarkEnd w:id="1459"/>
    </w:p>
    <w:p>
      <w:pPr>
        <w:spacing w:line="400" w:lineRule="exact"/>
        <w:rPr>
          <w:rFonts w:ascii="宋体" w:hAnsi="宋体" w:cs="宋体"/>
          <w:b/>
          <w:color w:val="auto"/>
          <w:szCs w:val="21"/>
          <w:highlight w:val="none"/>
          <w:u w:val="single"/>
        </w:rPr>
      </w:pPr>
      <w:r>
        <w:rPr>
          <w:rFonts w:hint="eastAsia" w:ascii="宋体" w:hAnsi="宋体" w:cs="宋体"/>
          <w:b/>
          <w:color w:val="auto"/>
          <w:szCs w:val="21"/>
          <w:highlight w:val="none"/>
        </w:rPr>
        <w:t>发包人（全称）：</w:t>
      </w:r>
      <w:r>
        <w:rPr>
          <w:rFonts w:hint="eastAsia" w:ascii="宋体" w:hAnsi="宋体" w:cs="宋体"/>
          <w:b/>
          <w:color w:val="auto"/>
          <w:szCs w:val="21"/>
          <w:highlight w:val="none"/>
          <w:u w:val="single"/>
        </w:rPr>
        <w:t>                       </w:t>
      </w:r>
    </w:p>
    <w:p>
      <w:pPr>
        <w:spacing w:line="400" w:lineRule="exact"/>
        <w:rPr>
          <w:rFonts w:ascii="宋体" w:hAnsi="宋体" w:cs="宋体"/>
          <w:b/>
          <w:color w:val="auto"/>
          <w:szCs w:val="21"/>
          <w:highlight w:val="none"/>
          <w:u w:val="single"/>
        </w:rPr>
      </w:pPr>
      <w:r>
        <w:rPr>
          <w:rFonts w:hint="eastAsia" w:ascii="宋体" w:hAnsi="宋体" w:cs="宋体"/>
          <w:b/>
          <w:color w:val="auto"/>
          <w:szCs w:val="21"/>
          <w:highlight w:val="none"/>
        </w:rPr>
        <w:t>承包人（全称）：</w:t>
      </w:r>
      <w:r>
        <w:rPr>
          <w:rFonts w:hint="eastAsia" w:ascii="宋体" w:hAnsi="宋体" w:cs="宋体"/>
          <w:b/>
          <w:color w:val="auto"/>
          <w:szCs w:val="21"/>
          <w:highlight w:val="none"/>
          <w:u w:val="single"/>
        </w:rPr>
        <w:t>                      </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根据《中华人民共和国民法典》及有关法律规定，遵循平等、自愿、公平和诚实信用的原则，双方就工程施工及有关事项协商一致，共同达成如下协议：</w:t>
      </w:r>
    </w:p>
    <w:p>
      <w:pPr>
        <w:pStyle w:val="5"/>
        <w:spacing w:before="120" w:after="120" w:line="400" w:lineRule="exact"/>
        <w:ind w:firstLine="480" w:firstLineChars="200"/>
        <w:rPr>
          <w:rFonts w:hint="eastAsia" w:ascii="Times New Roman" w:hAnsi="Times New Roman" w:cs="宋体"/>
          <w:b w:val="0"/>
          <w:bCs w:val="0"/>
          <w:color w:val="auto"/>
          <w:sz w:val="24"/>
          <w:szCs w:val="20"/>
          <w:highlight w:val="none"/>
          <w:lang w:val="en-US" w:eastAsia="zh-CN"/>
        </w:rPr>
      </w:pPr>
      <w:bookmarkStart w:id="1468" w:name="_Toc351203481"/>
      <w:r>
        <w:rPr>
          <w:rFonts w:hint="eastAsia" w:ascii="Times New Roman" w:hAnsi="Times New Roman" w:cs="宋体"/>
          <w:b w:val="0"/>
          <w:bCs w:val="0"/>
          <w:color w:val="auto"/>
          <w:sz w:val="24"/>
          <w:szCs w:val="20"/>
          <w:highlight w:val="none"/>
          <w:lang w:val="en-US" w:eastAsia="zh-CN"/>
        </w:rPr>
        <w:t>一、工程概况</w:t>
      </w:r>
      <w:bookmarkEnd w:id="1468"/>
    </w:p>
    <w:p>
      <w:pPr>
        <w:spacing w:line="400" w:lineRule="exact"/>
        <w:ind w:firstLine="411" w:firstLineChars="196"/>
        <w:rPr>
          <w:rFonts w:ascii="宋体" w:hAnsi="宋体" w:cs="宋体"/>
          <w:color w:val="auto"/>
          <w:szCs w:val="21"/>
          <w:highlight w:val="none"/>
          <w:u w:val="single"/>
        </w:rPr>
      </w:pPr>
      <w:r>
        <w:rPr>
          <w:rFonts w:hint="eastAsia" w:ascii="宋体" w:hAnsi="宋体" w:cs="宋体"/>
          <w:bCs/>
          <w:color w:val="auto"/>
          <w:szCs w:val="21"/>
          <w:highlight w:val="none"/>
        </w:rPr>
        <w:t>1.工程名称</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pPr>
        <w:spacing w:line="400" w:lineRule="exact"/>
        <w:ind w:firstLine="411" w:firstLineChars="196"/>
        <w:rPr>
          <w:rFonts w:ascii="宋体" w:hAnsi="宋体" w:cs="宋体"/>
          <w:bCs/>
          <w:color w:val="auto"/>
          <w:szCs w:val="21"/>
          <w:highlight w:val="none"/>
        </w:rPr>
      </w:pPr>
      <w:r>
        <w:rPr>
          <w:rFonts w:hint="eastAsia" w:ascii="宋体" w:hAnsi="宋体" w:cs="宋体"/>
          <w:bCs/>
          <w:color w:val="auto"/>
          <w:szCs w:val="21"/>
          <w:highlight w:val="none"/>
        </w:rPr>
        <w:t>2.工程地点：</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pPr>
        <w:spacing w:line="400" w:lineRule="exact"/>
        <w:ind w:firstLine="411" w:firstLineChars="196"/>
        <w:rPr>
          <w:rFonts w:ascii="宋体" w:hAnsi="宋体" w:cs="宋体"/>
          <w:bCs/>
          <w:color w:val="auto"/>
          <w:szCs w:val="21"/>
          <w:highlight w:val="none"/>
        </w:rPr>
      </w:pPr>
      <w:r>
        <w:rPr>
          <w:rFonts w:hint="eastAsia" w:ascii="宋体" w:hAnsi="宋体" w:cs="宋体"/>
          <w:bCs/>
          <w:color w:val="auto"/>
          <w:szCs w:val="21"/>
          <w:highlight w:val="none"/>
        </w:rPr>
        <w:t>3.工程立项批准文号：</w:t>
      </w:r>
      <w:r>
        <w:rPr>
          <w:rFonts w:hint="eastAsia" w:ascii="宋体" w:hAnsi="宋体" w:cs="宋体"/>
          <w:color w:val="auto"/>
          <w:szCs w:val="21"/>
          <w:highlight w:val="none"/>
          <w:u w:val="single"/>
        </w:rPr>
        <w:t xml:space="preserve">       </w:t>
      </w:r>
      <w:r>
        <w:rPr>
          <w:rFonts w:hint="eastAsia" w:ascii="宋体" w:hAnsi="宋体" w:cs="宋体"/>
          <w:bCs/>
          <w:color w:val="auto"/>
          <w:szCs w:val="21"/>
          <w:highlight w:val="none"/>
        </w:rPr>
        <w:t>。</w:t>
      </w:r>
    </w:p>
    <w:p>
      <w:pPr>
        <w:spacing w:line="400" w:lineRule="exact"/>
        <w:ind w:firstLine="411" w:firstLineChars="196"/>
        <w:rPr>
          <w:rFonts w:ascii="宋体" w:hAnsi="宋体" w:cs="宋体"/>
          <w:bCs/>
          <w:color w:val="auto"/>
          <w:szCs w:val="21"/>
          <w:highlight w:val="none"/>
        </w:rPr>
      </w:pPr>
      <w:r>
        <w:rPr>
          <w:rFonts w:hint="eastAsia" w:ascii="宋体" w:hAnsi="宋体" w:cs="宋体"/>
          <w:bCs/>
          <w:color w:val="auto"/>
          <w:szCs w:val="21"/>
          <w:highlight w:val="none"/>
        </w:rPr>
        <w:t>4.资金来源：</w:t>
      </w:r>
      <w:r>
        <w:rPr>
          <w:rFonts w:hint="eastAsia" w:ascii="宋体" w:hAnsi="宋体" w:cs="宋体"/>
          <w:color w:val="auto"/>
          <w:szCs w:val="21"/>
          <w:highlight w:val="none"/>
          <w:u w:val="single"/>
        </w:rPr>
        <w:t xml:space="preserve">       </w:t>
      </w:r>
      <w:r>
        <w:rPr>
          <w:rFonts w:hint="eastAsia" w:ascii="宋体" w:hAnsi="宋体" w:cs="宋体"/>
          <w:bCs/>
          <w:color w:val="auto"/>
          <w:szCs w:val="21"/>
          <w:highlight w:val="none"/>
        </w:rPr>
        <w:t>。</w:t>
      </w:r>
    </w:p>
    <w:p>
      <w:pPr>
        <w:spacing w:line="400" w:lineRule="exact"/>
        <w:ind w:firstLine="411" w:firstLineChars="196"/>
        <w:rPr>
          <w:rFonts w:ascii="宋体" w:hAnsi="宋体" w:cs="宋体"/>
          <w:bCs/>
          <w:color w:val="auto"/>
          <w:szCs w:val="21"/>
          <w:highlight w:val="none"/>
        </w:rPr>
      </w:pPr>
      <w:r>
        <w:rPr>
          <w:rFonts w:hint="eastAsia" w:ascii="宋体" w:hAnsi="宋体" w:cs="宋体"/>
          <w:bCs/>
          <w:color w:val="auto"/>
          <w:szCs w:val="21"/>
          <w:highlight w:val="none"/>
        </w:rPr>
        <w:t>5.工程内容：</w:t>
      </w:r>
      <w:r>
        <w:rPr>
          <w:rFonts w:hint="eastAsia" w:ascii="宋体" w:hAnsi="宋体" w:cs="宋体"/>
          <w:color w:val="auto"/>
          <w:szCs w:val="21"/>
          <w:highlight w:val="none"/>
          <w:u w:val="single"/>
        </w:rPr>
        <w:t xml:space="preserve">       </w:t>
      </w:r>
      <w:r>
        <w:rPr>
          <w:rFonts w:hint="eastAsia" w:ascii="宋体" w:hAnsi="宋体" w:cs="宋体"/>
          <w:bCs/>
          <w:color w:val="auto"/>
          <w:szCs w:val="21"/>
          <w:highlight w:val="none"/>
        </w:rPr>
        <w:t>。</w:t>
      </w:r>
    </w:p>
    <w:p>
      <w:pPr>
        <w:spacing w:line="400" w:lineRule="exact"/>
        <w:ind w:firstLine="411" w:firstLineChars="196"/>
        <w:rPr>
          <w:rFonts w:ascii="宋体" w:hAnsi="宋体" w:cs="宋体"/>
          <w:bCs/>
          <w:color w:val="auto"/>
          <w:szCs w:val="21"/>
          <w:highlight w:val="none"/>
        </w:rPr>
      </w:pPr>
      <w:r>
        <w:rPr>
          <w:rFonts w:hint="eastAsia" w:ascii="宋体" w:hAnsi="宋体" w:cs="宋体"/>
          <w:bCs/>
          <w:color w:val="auto"/>
          <w:szCs w:val="21"/>
          <w:highlight w:val="none"/>
        </w:rPr>
        <w:t>6.工程承包范围：</w:t>
      </w:r>
    </w:p>
    <w:p>
      <w:pPr>
        <w:spacing w:line="400" w:lineRule="exact"/>
        <w:ind w:firstLine="405" w:firstLineChars="193"/>
        <w:rPr>
          <w:rFonts w:ascii="宋体" w:hAnsi="宋体" w:cs="宋体"/>
          <w:color w:val="auto"/>
          <w:szCs w:val="21"/>
          <w:highlight w:val="none"/>
        </w:rPr>
      </w:pPr>
      <w:r>
        <w:rPr>
          <w:rFonts w:hint="eastAsia" w:ascii="宋体" w:hAnsi="宋体" w:cs="宋体"/>
          <w:color w:val="auto"/>
          <w:szCs w:val="21"/>
          <w:highlight w:val="none"/>
          <w:u w:val="single"/>
        </w:rPr>
        <w:t>   </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pStyle w:val="5"/>
        <w:spacing w:before="120" w:after="120" w:line="400" w:lineRule="exact"/>
        <w:ind w:firstLine="480" w:firstLineChars="200"/>
        <w:rPr>
          <w:rFonts w:hint="eastAsia" w:ascii="Times New Roman" w:hAnsi="Times New Roman" w:cs="宋体"/>
          <w:b w:val="0"/>
          <w:bCs w:val="0"/>
          <w:color w:val="auto"/>
          <w:sz w:val="24"/>
          <w:szCs w:val="20"/>
          <w:highlight w:val="none"/>
          <w:lang w:val="en-US" w:eastAsia="zh-CN"/>
        </w:rPr>
      </w:pPr>
      <w:bookmarkStart w:id="1469" w:name="_Toc351203482"/>
      <w:r>
        <w:rPr>
          <w:rFonts w:hint="eastAsia" w:ascii="Times New Roman" w:hAnsi="Times New Roman" w:cs="宋体"/>
          <w:b w:val="0"/>
          <w:bCs w:val="0"/>
          <w:color w:val="auto"/>
          <w:sz w:val="24"/>
          <w:szCs w:val="20"/>
          <w:highlight w:val="none"/>
          <w:lang w:val="en-US" w:eastAsia="zh-CN"/>
        </w:rPr>
        <w:t>二、合同工期</w:t>
      </w:r>
      <w:bookmarkEnd w:id="1469"/>
    </w:p>
    <w:p>
      <w:pPr>
        <w:spacing w:line="400" w:lineRule="exact"/>
        <w:ind w:firstLine="459"/>
        <w:rPr>
          <w:rFonts w:ascii="宋体" w:hAnsi="宋体" w:cs="宋体"/>
          <w:color w:val="auto"/>
          <w:szCs w:val="21"/>
          <w:highlight w:val="none"/>
        </w:rPr>
      </w:pPr>
      <w:r>
        <w:rPr>
          <w:rFonts w:hint="eastAsia" w:ascii="宋体" w:hAnsi="宋体" w:cs="宋体"/>
          <w:color w:val="auto"/>
          <w:szCs w:val="21"/>
          <w:highlight w:val="none"/>
        </w:rPr>
        <w:t>计划开工日期：</w:t>
      </w:r>
      <w:r>
        <w:rPr>
          <w:rFonts w:hint="eastAsia" w:ascii="宋体" w:hAnsi="宋体" w:cs="宋体"/>
          <w:color w:val="auto"/>
          <w:szCs w:val="21"/>
          <w:highlight w:val="none"/>
          <w:u w:val="single"/>
        </w:rPr>
        <w:t></w:t>
      </w:r>
      <w:r>
        <w:rPr>
          <w:rFonts w:hint="eastAsia" w:ascii="宋体" w:hAnsi="宋体" w:cs="宋体"/>
          <w:color w:val="auto"/>
          <w:szCs w:val="21"/>
          <w:highlight w:val="none"/>
        </w:rPr>
        <w:t>年</w:t>
      </w:r>
      <w:r>
        <w:rPr>
          <w:rFonts w:hint="eastAsia" w:ascii="宋体" w:hAnsi="宋体" w:cs="宋体"/>
          <w:color w:val="auto"/>
          <w:szCs w:val="21"/>
          <w:highlight w:val="none"/>
          <w:u w:val="single"/>
        </w:rPr>
        <w:t></w:t>
      </w:r>
      <w:r>
        <w:rPr>
          <w:rFonts w:hint="eastAsia" w:ascii="宋体" w:hAnsi="宋体" w:cs="宋体"/>
          <w:color w:val="auto"/>
          <w:szCs w:val="21"/>
          <w:highlight w:val="none"/>
        </w:rPr>
        <w:t>月</w:t>
      </w:r>
      <w:r>
        <w:rPr>
          <w:rFonts w:hint="eastAsia" w:ascii="宋体" w:hAnsi="宋体" w:cs="宋体"/>
          <w:color w:val="auto"/>
          <w:szCs w:val="21"/>
          <w:highlight w:val="none"/>
          <w:u w:val="single"/>
        </w:rPr>
        <w:t></w:t>
      </w:r>
      <w:r>
        <w:rPr>
          <w:rFonts w:hint="eastAsia" w:ascii="宋体" w:hAnsi="宋体" w:cs="宋体"/>
          <w:color w:val="auto"/>
          <w:szCs w:val="21"/>
          <w:highlight w:val="none"/>
        </w:rPr>
        <w:t>日。</w:t>
      </w:r>
    </w:p>
    <w:p>
      <w:pPr>
        <w:spacing w:line="400" w:lineRule="exact"/>
        <w:ind w:firstLine="459"/>
        <w:rPr>
          <w:rFonts w:ascii="宋体" w:hAnsi="宋体" w:cs="宋体"/>
          <w:color w:val="auto"/>
          <w:szCs w:val="21"/>
          <w:highlight w:val="none"/>
        </w:rPr>
      </w:pPr>
      <w:r>
        <w:rPr>
          <w:rFonts w:hint="eastAsia" w:ascii="宋体" w:hAnsi="宋体" w:cs="宋体"/>
          <w:color w:val="auto"/>
          <w:szCs w:val="21"/>
          <w:highlight w:val="none"/>
        </w:rPr>
        <w:t>计划完工日期：</w:t>
      </w:r>
      <w:r>
        <w:rPr>
          <w:rFonts w:hint="eastAsia" w:ascii="宋体" w:hAnsi="宋体" w:cs="宋体"/>
          <w:color w:val="auto"/>
          <w:szCs w:val="21"/>
          <w:highlight w:val="none"/>
          <w:u w:val="single"/>
        </w:rPr>
        <w:t></w:t>
      </w:r>
      <w:r>
        <w:rPr>
          <w:rFonts w:hint="eastAsia" w:ascii="宋体" w:hAnsi="宋体" w:cs="宋体"/>
          <w:color w:val="auto"/>
          <w:szCs w:val="21"/>
          <w:highlight w:val="none"/>
        </w:rPr>
        <w:t>年</w:t>
      </w:r>
      <w:r>
        <w:rPr>
          <w:rFonts w:hint="eastAsia" w:ascii="宋体" w:hAnsi="宋体" w:cs="宋体"/>
          <w:color w:val="auto"/>
          <w:szCs w:val="21"/>
          <w:highlight w:val="none"/>
          <w:u w:val="single"/>
        </w:rPr>
        <w:t></w:t>
      </w:r>
      <w:r>
        <w:rPr>
          <w:rFonts w:hint="eastAsia" w:ascii="宋体" w:hAnsi="宋体" w:cs="宋体"/>
          <w:color w:val="auto"/>
          <w:szCs w:val="21"/>
          <w:highlight w:val="none"/>
        </w:rPr>
        <w:t>月</w:t>
      </w:r>
      <w:r>
        <w:rPr>
          <w:rFonts w:hint="eastAsia" w:ascii="宋体" w:hAnsi="宋体" w:cs="宋体"/>
          <w:color w:val="auto"/>
          <w:szCs w:val="21"/>
          <w:highlight w:val="none"/>
          <w:u w:val="single"/>
        </w:rPr>
        <w:t></w:t>
      </w:r>
      <w:r>
        <w:rPr>
          <w:rFonts w:hint="eastAsia" w:ascii="宋体" w:hAnsi="宋体" w:cs="宋体"/>
          <w:color w:val="auto"/>
          <w:szCs w:val="21"/>
          <w:highlight w:val="none"/>
        </w:rPr>
        <w:t>日。</w:t>
      </w:r>
    </w:p>
    <w:p>
      <w:pPr>
        <w:spacing w:line="400" w:lineRule="exact"/>
        <w:ind w:firstLine="459"/>
        <w:rPr>
          <w:rFonts w:ascii="宋体" w:hAnsi="宋体" w:cs="宋体"/>
          <w:color w:val="auto"/>
          <w:szCs w:val="21"/>
          <w:highlight w:val="none"/>
        </w:rPr>
      </w:pPr>
      <w:r>
        <w:rPr>
          <w:rFonts w:hint="eastAsia" w:ascii="宋体" w:hAnsi="宋体" w:cs="宋体"/>
          <w:color w:val="auto"/>
          <w:szCs w:val="21"/>
          <w:highlight w:val="none"/>
        </w:rPr>
        <w:t>工期总日历天数：</w:t>
      </w:r>
      <w:r>
        <w:rPr>
          <w:rFonts w:hint="eastAsia" w:ascii="宋体" w:hAnsi="宋体" w:cs="宋体"/>
          <w:color w:val="auto"/>
          <w:szCs w:val="21"/>
          <w:highlight w:val="none"/>
          <w:u w:val="single"/>
        </w:rPr>
        <w:t></w:t>
      </w:r>
      <w:r>
        <w:rPr>
          <w:rFonts w:hint="eastAsia" w:ascii="宋体" w:hAnsi="宋体" w:cs="宋体"/>
          <w:color w:val="auto"/>
          <w:szCs w:val="21"/>
          <w:highlight w:val="none"/>
        </w:rPr>
        <w:t>天。</w:t>
      </w:r>
    </w:p>
    <w:p>
      <w:pPr>
        <w:pStyle w:val="5"/>
        <w:spacing w:before="120" w:after="120" w:line="400" w:lineRule="exact"/>
        <w:ind w:firstLine="480" w:firstLineChars="200"/>
        <w:rPr>
          <w:rFonts w:hint="eastAsia" w:ascii="Times New Roman" w:hAnsi="Times New Roman" w:cs="宋体"/>
          <w:b w:val="0"/>
          <w:bCs w:val="0"/>
          <w:color w:val="auto"/>
          <w:sz w:val="24"/>
          <w:szCs w:val="20"/>
          <w:highlight w:val="none"/>
        </w:rPr>
      </w:pPr>
      <w:bookmarkStart w:id="1470" w:name="_Toc351203483"/>
      <w:r>
        <w:rPr>
          <w:rFonts w:hint="eastAsia" w:ascii="Times New Roman" w:hAnsi="Times New Roman" w:cs="宋体"/>
          <w:b w:val="0"/>
          <w:bCs w:val="0"/>
          <w:color w:val="auto"/>
          <w:sz w:val="24"/>
          <w:szCs w:val="20"/>
          <w:highlight w:val="none"/>
        </w:rPr>
        <w:t>三、质量标准</w:t>
      </w:r>
      <w:bookmarkEnd w:id="1470"/>
    </w:p>
    <w:p>
      <w:pPr>
        <w:spacing w:line="400" w:lineRule="exact"/>
        <w:ind w:firstLine="459"/>
        <w:rPr>
          <w:rFonts w:ascii="宋体" w:hAnsi="宋体" w:cs="宋体"/>
          <w:color w:val="auto"/>
          <w:szCs w:val="21"/>
          <w:highlight w:val="none"/>
        </w:rPr>
      </w:pPr>
      <w:r>
        <w:rPr>
          <w:rFonts w:hint="eastAsia" w:ascii="宋体" w:hAnsi="宋体" w:cs="宋体"/>
          <w:color w:val="auto"/>
          <w:szCs w:val="21"/>
          <w:highlight w:val="none"/>
        </w:rPr>
        <w:t>工程质量符合</w:t>
      </w:r>
      <w:r>
        <w:rPr>
          <w:rFonts w:hint="eastAsia" w:ascii="宋体" w:hAnsi="宋体" w:cs="宋体"/>
          <w:color w:val="auto"/>
          <w:szCs w:val="21"/>
          <w:highlight w:val="none"/>
          <w:u w:val="single"/>
        </w:rPr>
        <w:t></w:t>
      </w:r>
      <w:r>
        <w:rPr>
          <w:rFonts w:hint="eastAsia" w:ascii="宋体" w:hAnsi="宋体" w:cs="宋体"/>
          <w:color w:val="auto"/>
          <w:szCs w:val="21"/>
          <w:highlight w:val="none"/>
        </w:rPr>
        <w:t>标准。</w:t>
      </w:r>
    </w:p>
    <w:p>
      <w:pPr>
        <w:pStyle w:val="5"/>
        <w:spacing w:before="120" w:after="120" w:line="400" w:lineRule="exact"/>
        <w:ind w:firstLine="480" w:firstLineChars="200"/>
        <w:rPr>
          <w:rFonts w:hint="eastAsia" w:ascii="Times New Roman" w:hAnsi="Times New Roman" w:cs="宋体"/>
          <w:b w:val="0"/>
          <w:bCs w:val="0"/>
          <w:color w:val="auto"/>
          <w:sz w:val="24"/>
          <w:szCs w:val="20"/>
          <w:highlight w:val="none"/>
        </w:rPr>
      </w:pPr>
      <w:bookmarkStart w:id="1471" w:name="_Toc351203484"/>
      <w:r>
        <w:rPr>
          <w:rFonts w:hint="eastAsia" w:ascii="Times New Roman" w:hAnsi="Times New Roman" w:cs="宋体"/>
          <w:b w:val="0"/>
          <w:bCs w:val="0"/>
          <w:color w:val="auto"/>
          <w:sz w:val="24"/>
          <w:szCs w:val="20"/>
          <w:highlight w:val="none"/>
        </w:rPr>
        <w:t>四、签约合同价与合同价格形式</w:t>
      </w:r>
      <w:bookmarkEnd w:id="1471"/>
      <w:r>
        <w:rPr>
          <w:rFonts w:hint="eastAsia" w:ascii="Times New Roman" w:hAnsi="Times New Roman" w:cs="宋体"/>
          <w:b w:val="0"/>
          <w:bCs w:val="0"/>
          <w:color w:val="auto"/>
          <w:sz w:val="24"/>
          <w:szCs w:val="20"/>
          <w:highlight w:val="none"/>
        </w:rPr>
        <w:tab/>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1.签约合同价为：</w:t>
      </w:r>
    </w:p>
    <w:p>
      <w:pPr>
        <w:spacing w:line="400" w:lineRule="exact"/>
        <w:ind w:firstLine="525" w:firstLineChars="250"/>
        <w:rPr>
          <w:rFonts w:ascii="宋体" w:hAnsi="宋体" w:cs="宋体"/>
          <w:color w:val="auto"/>
          <w:szCs w:val="21"/>
          <w:highlight w:val="none"/>
        </w:rPr>
      </w:pPr>
      <w:r>
        <w:rPr>
          <w:rFonts w:hint="eastAsia" w:ascii="宋体" w:hAnsi="宋体" w:cs="宋体"/>
          <w:color w:val="auto"/>
          <w:szCs w:val="21"/>
          <w:highlight w:val="none"/>
        </w:rPr>
        <w:t>人民币（大写）(¥元)；</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其中：</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（1）安全文明施工费：</w:t>
      </w:r>
    </w:p>
    <w:p>
      <w:pPr>
        <w:spacing w:line="400" w:lineRule="exact"/>
        <w:ind w:firstLine="945" w:firstLineChars="450"/>
        <w:rPr>
          <w:rFonts w:ascii="宋体" w:hAnsi="宋体" w:cs="宋体"/>
          <w:color w:val="auto"/>
          <w:szCs w:val="21"/>
          <w:highlight w:val="none"/>
        </w:rPr>
      </w:pPr>
      <w:r>
        <w:rPr>
          <w:rFonts w:hint="eastAsia" w:ascii="宋体" w:hAnsi="宋体" w:cs="宋体"/>
          <w:color w:val="auto"/>
          <w:szCs w:val="21"/>
          <w:highlight w:val="none"/>
        </w:rPr>
        <w:t>人民币（大写） (¥元)；</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（2）材料和工程设备暂估价金额：</w:t>
      </w:r>
    </w:p>
    <w:p>
      <w:pPr>
        <w:spacing w:line="400" w:lineRule="exact"/>
        <w:ind w:firstLine="945" w:firstLineChars="450"/>
        <w:rPr>
          <w:rFonts w:ascii="宋体" w:hAnsi="宋体" w:cs="宋体"/>
          <w:color w:val="auto"/>
          <w:szCs w:val="21"/>
          <w:highlight w:val="none"/>
        </w:rPr>
      </w:pPr>
      <w:r>
        <w:rPr>
          <w:rFonts w:hint="eastAsia" w:ascii="宋体" w:hAnsi="宋体" w:cs="宋体"/>
          <w:color w:val="auto"/>
          <w:szCs w:val="21"/>
          <w:highlight w:val="none"/>
        </w:rPr>
        <w:t>人民币（大写） (¥元)；</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（3）专业工程暂估价金额：</w:t>
      </w:r>
    </w:p>
    <w:p>
      <w:pPr>
        <w:spacing w:line="400" w:lineRule="exact"/>
        <w:ind w:firstLine="945" w:firstLineChars="450"/>
        <w:rPr>
          <w:rFonts w:ascii="宋体" w:hAnsi="宋体" w:cs="宋体"/>
          <w:color w:val="auto"/>
          <w:szCs w:val="21"/>
          <w:highlight w:val="none"/>
        </w:rPr>
      </w:pPr>
      <w:r>
        <w:rPr>
          <w:rFonts w:hint="eastAsia" w:ascii="宋体" w:hAnsi="宋体" w:cs="宋体"/>
          <w:color w:val="auto"/>
          <w:szCs w:val="21"/>
          <w:highlight w:val="none"/>
        </w:rPr>
        <w:t>人民币（大写） (¥元)；</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（4）暂列金额：</w:t>
      </w:r>
    </w:p>
    <w:p>
      <w:pPr>
        <w:spacing w:line="400" w:lineRule="exact"/>
        <w:ind w:firstLine="945" w:firstLineChars="450"/>
        <w:rPr>
          <w:rFonts w:ascii="宋体" w:hAnsi="宋体" w:cs="宋体"/>
          <w:color w:val="auto"/>
          <w:szCs w:val="21"/>
          <w:highlight w:val="none"/>
        </w:rPr>
      </w:pPr>
      <w:r>
        <w:rPr>
          <w:rFonts w:hint="eastAsia" w:ascii="宋体" w:hAnsi="宋体" w:cs="宋体"/>
          <w:color w:val="auto"/>
          <w:szCs w:val="21"/>
          <w:highlight w:val="none"/>
        </w:rPr>
        <w:t>人民币（大写） (¥元)。</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2.合同价格形式：</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pStyle w:val="5"/>
        <w:spacing w:before="120" w:after="120" w:line="400" w:lineRule="exact"/>
        <w:ind w:firstLine="480" w:firstLineChars="200"/>
        <w:rPr>
          <w:rFonts w:hint="eastAsia" w:ascii="Times New Roman" w:hAnsi="Times New Roman" w:cs="宋体"/>
          <w:b w:val="0"/>
          <w:bCs w:val="0"/>
          <w:color w:val="auto"/>
          <w:sz w:val="24"/>
          <w:szCs w:val="20"/>
          <w:highlight w:val="none"/>
        </w:rPr>
      </w:pPr>
      <w:bookmarkStart w:id="1472" w:name="_Toc351203485"/>
      <w:r>
        <w:rPr>
          <w:rFonts w:hint="eastAsia" w:ascii="Times New Roman" w:hAnsi="Times New Roman" w:cs="宋体"/>
          <w:b w:val="0"/>
          <w:bCs w:val="0"/>
          <w:color w:val="auto"/>
          <w:sz w:val="24"/>
          <w:szCs w:val="20"/>
          <w:highlight w:val="none"/>
        </w:rPr>
        <w:t>五、</w:t>
      </w:r>
      <w:bookmarkEnd w:id="1472"/>
      <w:r>
        <w:rPr>
          <w:rFonts w:hint="eastAsia" w:ascii="Times New Roman" w:hAnsi="Times New Roman" w:cs="宋体"/>
          <w:b w:val="0"/>
          <w:bCs w:val="0"/>
          <w:color w:val="auto"/>
          <w:sz w:val="24"/>
          <w:szCs w:val="20"/>
          <w:highlight w:val="none"/>
        </w:rPr>
        <w:t>项目负责人</w:t>
      </w:r>
    </w:p>
    <w:p>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承包人项目负责人</w:t>
      </w:r>
      <w:r>
        <w:rPr>
          <w:rFonts w:ascii="宋体" w:hAnsi="宋体" w:cs="宋体"/>
          <w:color w:val="auto"/>
          <w:szCs w:val="21"/>
          <w:highlight w:val="none"/>
        </w:rPr>
        <w:t>姓名</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w:t>
      </w:r>
      <w:r>
        <w:rPr>
          <w:rFonts w:ascii="宋体" w:hAnsi="宋体" w:cs="宋体"/>
          <w:color w:val="auto"/>
          <w:szCs w:val="21"/>
          <w:highlight w:val="none"/>
        </w:rPr>
        <w:t xml:space="preserve">; </w:t>
      </w:r>
      <w:r>
        <w:rPr>
          <w:rFonts w:hint="eastAsia" w:ascii="宋体" w:hAnsi="宋体" w:cs="宋体"/>
          <w:color w:val="auto"/>
          <w:kern w:val="0"/>
          <w:szCs w:val="21"/>
          <w:highlight w:val="none"/>
        </w:rPr>
        <w:t>注册执业证书编号</w:t>
      </w:r>
      <w:r>
        <w:rPr>
          <w:rFonts w:ascii="宋体" w:hAnsi="宋体" w:cs="宋体"/>
          <w:color w:val="auto"/>
          <w:kern w:val="0"/>
          <w:szCs w:val="21"/>
          <w:highlight w:val="none"/>
        </w:rPr>
        <w:t>：</w:t>
      </w:r>
      <w:r>
        <w:rPr>
          <w:rFonts w:hint="eastAsia" w:ascii="宋体" w:hAnsi="宋体" w:cs="宋体"/>
          <w:color w:val="auto"/>
          <w:szCs w:val="21"/>
          <w:highlight w:val="none"/>
          <w:u w:val="single"/>
        </w:rPr>
        <w:t xml:space="preserve">     </w:t>
      </w:r>
      <w:r>
        <w:rPr>
          <w:rFonts w:ascii="宋体" w:hAnsi="宋体" w:cs="宋体"/>
          <w:color w:val="auto"/>
          <w:szCs w:val="21"/>
          <w:highlight w:val="none"/>
        </w:rPr>
        <w:t>;</w:t>
      </w:r>
      <w:r>
        <w:rPr>
          <w:rFonts w:hint="eastAsia" w:ascii="宋体" w:hAnsi="宋体" w:cs="宋体"/>
          <w:color w:val="auto"/>
          <w:kern w:val="0"/>
          <w:szCs w:val="21"/>
          <w:highlight w:val="none"/>
        </w:rPr>
        <w:t>联系方式</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pPr>
        <w:pStyle w:val="5"/>
        <w:spacing w:before="120" w:after="120" w:line="400" w:lineRule="exact"/>
        <w:ind w:firstLine="480" w:firstLineChars="200"/>
        <w:rPr>
          <w:rFonts w:hint="eastAsia" w:ascii="Times New Roman" w:hAnsi="Times New Roman" w:cs="宋体"/>
          <w:b w:val="0"/>
          <w:bCs w:val="0"/>
          <w:color w:val="auto"/>
          <w:sz w:val="24"/>
          <w:szCs w:val="20"/>
          <w:highlight w:val="none"/>
        </w:rPr>
      </w:pPr>
      <w:bookmarkStart w:id="1473" w:name="_Toc351203486"/>
      <w:r>
        <w:rPr>
          <w:rFonts w:hint="eastAsia" w:ascii="Times New Roman" w:hAnsi="Times New Roman" w:cs="宋体"/>
          <w:b w:val="0"/>
          <w:bCs w:val="0"/>
          <w:color w:val="auto"/>
          <w:sz w:val="24"/>
          <w:szCs w:val="20"/>
          <w:highlight w:val="none"/>
        </w:rPr>
        <w:t>六、合同文件构成</w:t>
      </w:r>
      <w:bookmarkEnd w:id="1473"/>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本协议书与下列文件一起构成合同文件：</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（1）中标通知书；</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（2）投标函及其附录； </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（3）专用合同条款及其附件；</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（4）通用合同条款；</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（5）技术标准和要求；</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（6）图纸；</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（7）已标价工程量清单；</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（8）其他合同文件。</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在合同订立及履行过程中形成的与合同有关的文件均构成合同文件组成部分。</w:t>
      </w:r>
    </w:p>
    <w:p>
      <w:pPr>
        <w:autoSpaceDE w:val="0"/>
        <w:autoSpaceDN w:val="0"/>
        <w:adjustRightInd w:val="0"/>
        <w:spacing w:line="4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上述各项合同文件包括合同当事人就该项合同文件所作出的补充和修改，属于同一类内容的文件，应以最新签署的为准。专用合同条款及其附件须经合同当事人签字或盖章。</w:t>
      </w:r>
    </w:p>
    <w:p>
      <w:pPr>
        <w:pStyle w:val="5"/>
        <w:spacing w:before="120" w:after="120" w:line="400" w:lineRule="exact"/>
        <w:ind w:firstLine="480" w:firstLineChars="200"/>
        <w:rPr>
          <w:rFonts w:hint="eastAsia" w:ascii="Times New Roman" w:hAnsi="Times New Roman" w:cs="宋体"/>
          <w:b w:val="0"/>
          <w:bCs w:val="0"/>
          <w:color w:val="auto"/>
          <w:sz w:val="24"/>
          <w:szCs w:val="20"/>
          <w:highlight w:val="none"/>
        </w:rPr>
      </w:pPr>
      <w:bookmarkStart w:id="1474" w:name="_Toc351203487"/>
      <w:r>
        <w:rPr>
          <w:rFonts w:hint="eastAsia" w:ascii="Times New Roman" w:hAnsi="Times New Roman" w:cs="宋体"/>
          <w:b w:val="0"/>
          <w:bCs w:val="0"/>
          <w:color w:val="auto"/>
          <w:sz w:val="24"/>
          <w:szCs w:val="20"/>
          <w:highlight w:val="none"/>
        </w:rPr>
        <w:t>七、承诺</w:t>
      </w:r>
      <w:bookmarkEnd w:id="1474"/>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1.发包人承诺按照法律规定履行项目审批手续、筹集工程建设资金并按照合同约定的期限和方式支付合同价款。</w:t>
      </w:r>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2.承包人承诺按照法律规定及合同约定组织完成工程施工，确保工程质量和安全，不进行转包及违法分包，并在缺陷责任期及保修期内承担相应的工程维修责任。</w:t>
      </w:r>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3.发包人和承包人通过招投标形式签订合同的，双方理解并承诺不再就同一工程另行签订与合同实质性内容相背离的协议。</w:t>
      </w:r>
    </w:p>
    <w:p>
      <w:pPr>
        <w:pStyle w:val="5"/>
        <w:spacing w:before="120" w:after="120" w:line="400" w:lineRule="exact"/>
        <w:ind w:firstLine="482" w:firstLineChars="200"/>
        <w:rPr>
          <w:rFonts w:ascii="Times New Roman" w:hAnsi="Times New Roman" w:cs="宋体"/>
          <w:color w:val="auto"/>
          <w:sz w:val="24"/>
          <w:szCs w:val="20"/>
          <w:highlight w:val="none"/>
        </w:rPr>
      </w:pPr>
      <w:bookmarkStart w:id="1475" w:name="_Toc351203488"/>
      <w:r>
        <w:rPr>
          <w:rFonts w:hint="eastAsia" w:ascii="Times New Roman" w:hAnsi="Times New Roman" w:cs="宋体"/>
          <w:color w:val="auto"/>
          <w:sz w:val="24"/>
          <w:szCs w:val="20"/>
          <w:highlight w:val="none"/>
        </w:rPr>
        <w:t>八、词语含义</w:t>
      </w:r>
      <w:bookmarkEnd w:id="1475"/>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本协议书中词语含义与第二部分通用合同条款中赋予的含义相同。</w:t>
      </w:r>
    </w:p>
    <w:p>
      <w:pPr>
        <w:pStyle w:val="5"/>
        <w:spacing w:before="120" w:after="120" w:line="400" w:lineRule="exact"/>
        <w:ind w:firstLine="480" w:firstLineChars="200"/>
        <w:rPr>
          <w:rFonts w:ascii="Times New Roman" w:hAnsi="Times New Roman"/>
          <w:bCs w:val="0"/>
          <w:color w:val="auto"/>
          <w:sz w:val="32"/>
          <w:szCs w:val="32"/>
          <w:highlight w:val="none"/>
        </w:rPr>
      </w:pPr>
      <w:bookmarkStart w:id="1476" w:name="_Toc351203489"/>
      <w:r>
        <w:rPr>
          <w:rFonts w:hint="eastAsia" w:ascii="Times New Roman" w:hAnsi="Times New Roman" w:cs="宋体"/>
          <w:b w:val="0"/>
          <w:bCs w:val="0"/>
          <w:color w:val="auto"/>
          <w:sz w:val="24"/>
          <w:szCs w:val="20"/>
          <w:highlight w:val="none"/>
        </w:rPr>
        <w:t>九、签订时间</w:t>
      </w:r>
      <w:bookmarkEnd w:id="1476"/>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本合同于年月日签订。</w:t>
      </w:r>
    </w:p>
    <w:p>
      <w:pPr>
        <w:pStyle w:val="5"/>
        <w:spacing w:before="120" w:after="120" w:line="400" w:lineRule="exact"/>
        <w:ind w:firstLine="480" w:firstLineChars="200"/>
        <w:rPr>
          <w:rFonts w:ascii="Times New Roman" w:hAnsi="Times New Roman"/>
          <w:bCs w:val="0"/>
          <w:color w:val="auto"/>
          <w:sz w:val="32"/>
          <w:szCs w:val="32"/>
          <w:highlight w:val="none"/>
        </w:rPr>
      </w:pPr>
      <w:bookmarkStart w:id="1477" w:name="_Toc351203490"/>
      <w:r>
        <w:rPr>
          <w:rFonts w:hint="eastAsia" w:ascii="Times New Roman" w:hAnsi="Times New Roman" w:cs="宋体"/>
          <w:b w:val="0"/>
          <w:bCs w:val="0"/>
          <w:color w:val="auto"/>
          <w:sz w:val="24"/>
          <w:szCs w:val="20"/>
          <w:highlight w:val="none"/>
        </w:rPr>
        <w:t>十、签订地点</w:t>
      </w:r>
      <w:bookmarkEnd w:id="1477"/>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本合同在签订。</w:t>
      </w:r>
    </w:p>
    <w:p>
      <w:pPr>
        <w:pStyle w:val="5"/>
        <w:spacing w:before="120" w:after="120" w:line="400" w:lineRule="exact"/>
        <w:ind w:firstLine="480" w:firstLineChars="200"/>
        <w:rPr>
          <w:rFonts w:ascii="Times New Roman" w:hAnsi="Times New Roman"/>
          <w:bCs w:val="0"/>
          <w:color w:val="auto"/>
          <w:sz w:val="32"/>
          <w:szCs w:val="32"/>
          <w:highlight w:val="none"/>
        </w:rPr>
      </w:pPr>
      <w:bookmarkStart w:id="1478" w:name="_Toc351203491"/>
      <w:r>
        <w:rPr>
          <w:rFonts w:hint="eastAsia" w:ascii="Times New Roman" w:hAnsi="Times New Roman" w:cs="宋体"/>
          <w:b w:val="0"/>
          <w:bCs w:val="0"/>
          <w:color w:val="auto"/>
          <w:sz w:val="24"/>
          <w:szCs w:val="20"/>
          <w:highlight w:val="none"/>
        </w:rPr>
        <w:t>十一、补充协议</w:t>
      </w:r>
      <w:bookmarkEnd w:id="1478"/>
    </w:p>
    <w:p>
      <w:pPr>
        <w:spacing w:line="400" w:lineRule="exact"/>
        <w:ind w:firstLine="420" w:firstLineChars="200"/>
        <w:rPr>
          <w:rFonts w:eastAsia="仿宋_GB2312"/>
          <w:b/>
          <w:bCs/>
          <w:color w:val="auto"/>
          <w:sz w:val="30"/>
          <w:szCs w:val="30"/>
          <w:highlight w:val="none"/>
        </w:rPr>
      </w:pPr>
      <w:r>
        <w:rPr>
          <w:rFonts w:hint="eastAsia" w:ascii="宋体" w:hAnsi="宋体" w:cs="宋体"/>
          <w:bCs/>
          <w:color w:val="auto"/>
          <w:szCs w:val="21"/>
          <w:highlight w:val="none"/>
        </w:rPr>
        <w:t>合同未尽事宜，合同当事人另行签订补充协议，补充协议是合同的组成部分。</w:t>
      </w:r>
    </w:p>
    <w:p>
      <w:pPr>
        <w:pStyle w:val="5"/>
        <w:spacing w:before="120" w:after="120" w:line="400" w:lineRule="exact"/>
        <w:ind w:firstLine="480" w:firstLineChars="200"/>
        <w:rPr>
          <w:rFonts w:ascii="Times New Roman" w:hAnsi="Times New Roman"/>
          <w:bCs w:val="0"/>
          <w:color w:val="auto"/>
          <w:sz w:val="32"/>
          <w:szCs w:val="32"/>
          <w:highlight w:val="none"/>
        </w:rPr>
      </w:pPr>
      <w:bookmarkStart w:id="1479" w:name="_Toc351203492"/>
      <w:r>
        <w:rPr>
          <w:rFonts w:hint="eastAsia" w:ascii="Times New Roman" w:hAnsi="Calibri" w:cs="宋体"/>
          <w:b w:val="0"/>
          <w:bCs w:val="0"/>
          <w:color w:val="auto"/>
          <w:sz w:val="24"/>
          <w:szCs w:val="20"/>
          <w:highlight w:val="none"/>
        </w:rPr>
        <w:t>十二、合同生效</w:t>
      </w:r>
      <w:bookmarkEnd w:id="1479"/>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本合同自生效。</w:t>
      </w:r>
    </w:p>
    <w:p>
      <w:pPr>
        <w:pStyle w:val="5"/>
        <w:spacing w:before="120" w:after="120" w:line="400" w:lineRule="exact"/>
        <w:ind w:firstLine="480" w:firstLineChars="200"/>
        <w:rPr>
          <w:rFonts w:ascii="Times New Roman" w:hAnsi="Times New Roman"/>
          <w:bCs w:val="0"/>
          <w:color w:val="auto"/>
          <w:sz w:val="32"/>
          <w:szCs w:val="32"/>
          <w:highlight w:val="none"/>
        </w:rPr>
      </w:pPr>
      <w:bookmarkStart w:id="1480" w:name="_Toc351203493"/>
      <w:r>
        <w:rPr>
          <w:rFonts w:hint="eastAsia" w:ascii="Times New Roman" w:hAnsi="Calibri" w:cs="宋体"/>
          <w:b w:val="0"/>
          <w:bCs w:val="0"/>
          <w:color w:val="auto"/>
          <w:sz w:val="24"/>
          <w:szCs w:val="20"/>
          <w:highlight w:val="none"/>
        </w:rPr>
        <w:t>十三、合同份数</w:t>
      </w:r>
      <w:bookmarkEnd w:id="1480"/>
    </w:p>
    <w:p>
      <w:pPr>
        <w:spacing w:line="40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rPr>
        <w:t>本合同一式份，均具有同等法律效力，发包人执份，承包人执份。</w:t>
      </w:r>
    </w:p>
    <w:p>
      <w:pPr>
        <w:spacing w:line="400" w:lineRule="exact"/>
        <w:ind w:firstLine="420" w:firstLineChars="200"/>
        <w:rPr>
          <w:rFonts w:ascii="宋体" w:hAnsi="宋体" w:cs="宋体"/>
          <w:bCs/>
          <w:color w:val="auto"/>
          <w:szCs w:val="21"/>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  (公章)             承包人：  (公章)</w:t>
      </w:r>
    </w:p>
    <w:p>
      <w:pPr>
        <w:spacing w:line="360" w:lineRule="auto"/>
        <w:jc w:val="left"/>
        <w:rPr>
          <w:rFonts w:ascii="宋体" w:hAnsi="宋体" w:cs="宋体"/>
          <w:color w:val="auto"/>
          <w:szCs w:val="21"/>
          <w:highlight w:val="none"/>
          <w:u w:val="singl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法定代表人或其委托代理人：  法定代表人或其委托代理人：</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（签字）                    （签字）</w:t>
      </w:r>
    </w:p>
    <w:p>
      <w:pPr>
        <w:spacing w:line="360" w:lineRule="auto"/>
        <w:jc w:val="left"/>
        <w:rPr>
          <w:rFonts w:ascii="宋体" w:hAnsi="宋体" w:cs="宋体"/>
          <w:color w:val="auto"/>
          <w:szCs w:val="21"/>
          <w:highlight w:val="none"/>
          <w:u w:val="single"/>
        </w:rPr>
      </w:pPr>
    </w:p>
    <w:p>
      <w:pPr>
        <w:tabs>
          <w:tab w:val="left" w:pos="4410"/>
        </w:tabs>
        <w:spacing w:line="360" w:lineRule="auto"/>
        <w:jc w:val="left"/>
        <w:rPr>
          <w:rFonts w:ascii="宋体" w:hAnsi="宋体" w:cs="宋体"/>
          <w:color w:val="auto"/>
          <w:szCs w:val="21"/>
          <w:highlight w:val="none"/>
        </w:rPr>
      </w:pPr>
      <w:r>
        <w:rPr>
          <w:rFonts w:hint="eastAsia" w:ascii="宋体" w:hAnsi="宋体" w:cs="宋体"/>
          <w:color w:val="auto"/>
          <w:szCs w:val="21"/>
          <w:highlight w:val="none"/>
        </w:rPr>
        <w:t>组织机构代码：</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组织机构代码：</w:t>
      </w:r>
      <w:r>
        <w:rPr>
          <w:rFonts w:hint="eastAsia" w:ascii="宋体" w:hAnsi="宋体" w:cs="宋体"/>
          <w:color w:val="auto"/>
          <w:szCs w:val="21"/>
          <w:highlight w:val="none"/>
          <w:u w:val="single"/>
        </w:rPr>
        <w:t>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地  址：</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地  址：</w:t>
      </w:r>
      <w:r>
        <w:rPr>
          <w:rFonts w:hint="eastAsia" w:ascii="宋体" w:hAnsi="宋体" w:cs="宋体"/>
          <w:color w:val="auto"/>
          <w:szCs w:val="21"/>
          <w:highlight w:val="none"/>
          <w:u w:val="single"/>
        </w:rPr>
        <w:t> 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邮政编码：</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邮政编码：</w:t>
      </w:r>
      <w:r>
        <w:rPr>
          <w:rFonts w:hint="eastAsia" w:ascii="宋体" w:hAnsi="宋体" w:cs="宋体"/>
          <w:color w:val="auto"/>
          <w:szCs w:val="21"/>
          <w:highlight w:val="none"/>
          <w:u w:val="single"/>
        </w:rPr>
        <w:t></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法定代表人：</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法定代表人：</w:t>
      </w:r>
      <w:r>
        <w:rPr>
          <w:rFonts w:hint="eastAsia" w:ascii="宋体" w:hAnsi="宋体" w:cs="宋体"/>
          <w:color w:val="auto"/>
          <w:szCs w:val="21"/>
          <w:highlight w:val="none"/>
          <w:u w:val="single"/>
        </w:rPr>
        <w:t>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委托代理人：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委托代理人：</w:t>
      </w:r>
      <w:r>
        <w:rPr>
          <w:rFonts w:hint="eastAsia" w:ascii="宋体" w:hAnsi="宋体" w:cs="宋体"/>
          <w:color w:val="auto"/>
          <w:szCs w:val="21"/>
          <w:highlight w:val="none"/>
          <w:u w:val="single"/>
        </w:rPr>
        <w:t></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电  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电 话：</w:t>
      </w:r>
      <w:r>
        <w:rPr>
          <w:rFonts w:hint="eastAsia" w:ascii="宋体" w:hAnsi="宋体" w:cs="宋体"/>
          <w:color w:val="auto"/>
          <w:szCs w:val="21"/>
          <w:highlight w:val="none"/>
          <w:u w:val="single"/>
        </w:rPr>
        <w:t></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传  真：</w:t>
      </w:r>
      <w:r>
        <w:rPr>
          <w:rFonts w:hint="eastAsia" w:ascii="宋体" w:hAnsi="宋体" w:cs="宋体"/>
          <w:color w:val="auto"/>
          <w:szCs w:val="21"/>
          <w:highlight w:val="none"/>
          <w:u w:val="single"/>
        </w:rPr>
        <w:t>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电子信箱：电子信箱：</w:t>
      </w:r>
      <w:r>
        <w:rPr>
          <w:rFonts w:hint="eastAsia" w:ascii="宋体" w:hAnsi="宋体" w:cs="宋体"/>
          <w:color w:val="auto"/>
          <w:szCs w:val="21"/>
          <w:highlight w:val="none"/>
          <w:u w:val="single"/>
        </w:rPr>
        <w:t></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开户银行：</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开户银行：</w:t>
      </w:r>
      <w:r>
        <w:rPr>
          <w:rFonts w:hint="eastAsia" w:ascii="宋体" w:hAnsi="宋体" w:cs="宋体"/>
          <w:color w:val="auto"/>
          <w:szCs w:val="21"/>
          <w:highlight w:val="none"/>
          <w:u w:val="single"/>
        </w:rPr>
        <w:t></w:t>
      </w:r>
    </w:p>
    <w:p>
      <w:pPr>
        <w:spacing w:line="360" w:lineRule="auto"/>
        <w:jc w:val="left"/>
        <w:rPr>
          <w:rFonts w:ascii="宋体" w:hAnsi="宋体" w:cs="宋体"/>
          <w:color w:val="auto"/>
          <w:szCs w:val="21"/>
          <w:highlight w:val="none"/>
          <w:u w:val="single"/>
        </w:rPr>
      </w:pPr>
      <w:r>
        <w:rPr>
          <w:rFonts w:hint="eastAsia" w:ascii="宋体" w:hAnsi="宋体" w:cs="宋体"/>
          <w:color w:val="auto"/>
          <w:szCs w:val="21"/>
          <w:highlight w:val="none"/>
        </w:rPr>
        <w:t>账  号：</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账  号：</w:t>
      </w:r>
      <w:r>
        <w:rPr>
          <w:rFonts w:hint="eastAsia" w:ascii="宋体" w:hAnsi="宋体" w:cs="宋体"/>
          <w:color w:val="auto"/>
          <w:szCs w:val="21"/>
          <w:highlight w:val="none"/>
          <w:u w:val="single"/>
        </w:rPr>
        <w:t></w:t>
      </w:r>
    </w:p>
    <w:p>
      <w:pPr>
        <w:spacing w:line="360" w:lineRule="auto"/>
        <w:rPr>
          <w:color w:val="auto"/>
          <w:highlight w:val="none"/>
        </w:rPr>
      </w:pPr>
    </w:p>
    <w:p>
      <w:pPr>
        <w:rPr>
          <w:color w:val="auto"/>
          <w:highlight w:val="none"/>
        </w:rPr>
      </w:pPr>
    </w:p>
    <w:p>
      <w:pPr>
        <w:rPr>
          <w:color w:val="auto"/>
          <w:highlight w:val="none"/>
        </w:rPr>
      </w:pPr>
    </w:p>
    <w:p>
      <w:pPr>
        <w:pStyle w:val="4"/>
        <w:jc w:val="center"/>
        <w:rPr>
          <w:rStyle w:val="34"/>
          <w:color w:val="auto"/>
          <w:sz w:val="30"/>
          <w:szCs w:val="30"/>
          <w:highlight w:val="none"/>
        </w:rPr>
      </w:pPr>
      <w:bookmarkStart w:id="1481" w:name="_Toc4643"/>
      <w:bookmarkStart w:id="1482" w:name="_Toc3913"/>
      <w:bookmarkStart w:id="1483" w:name="_Toc7311"/>
      <w:bookmarkStart w:id="1484" w:name="_Toc24273"/>
      <w:bookmarkStart w:id="1485" w:name="_Toc351203494"/>
      <w:bookmarkStart w:id="1486" w:name="_Toc6369"/>
      <w:bookmarkStart w:id="1487" w:name="_Toc319614901"/>
      <w:bookmarkStart w:id="1488" w:name="_Toc1056468649"/>
      <w:bookmarkStart w:id="1489" w:name="_Toc22415"/>
      <w:r>
        <w:rPr>
          <w:rFonts w:hint="eastAsia"/>
          <w:b w:val="0"/>
          <w:bCs w:val="0"/>
          <w:color w:val="auto"/>
          <w:sz w:val="30"/>
          <w:szCs w:val="30"/>
          <w:highlight w:val="none"/>
        </w:rPr>
        <w:t>第二部分 通用合同条款</w:t>
      </w:r>
      <w:bookmarkEnd w:id="1481"/>
      <w:bookmarkEnd w:id="1482"/>
      <w:bookmarkEnd w:id="1483"/>
      <w:bookmarkEnd w:id="1484"/>
      <w:bookmarkEnd w:id="1485"/>
      <w:bookmarkEnd w:id="1486"/>
      <w:bookmarkEnd w:id="1487"/>
      <w:bookmarkEnd w:id="1488"/>
      <w:bookmarkEnd w:id="1489"/>
      <w:bookmarkStart w:id="1490" w:name="_Toc337558727"/>
    </w:p>
    <w:p>
      <w:pPr>
        <w:pStyle w:val="5"/>
        <w:spacing w:before="120" w:after="120" w:line="360" w:lineRule="auto"/>
        <w:outlineLvl w:val="3"/>
        <w:rPr>
          <w:rFonts w:ascii="宋体" w:hAnsi="宋体" w:eastAsia="宋体" w:cs="宋体"/>
          <w:color w:val="auto"/>
          <w:sz w:val="24"/>
          <w:szCs w:val="24"/>
          <w:highlight w:val="none"/>
        </w:rPr>
      </w:pPr>
      <w:bookmarkStart w:id="1491" w:name="_Toc351203495"/>
      <w:r>
        <w:rPr>
          <w:rFonts w:hint="eastAsia" w:ascii="宋体" w:hAnsi="宋体" w:eastAsia="宋体" w:cs="宋体"/>
          <w:color w:val="auto"/>
          <w:sz w:val="24"/>
          <w:szCs w:val="24"/>
          <w:highlight w:val="none"/>
        </w:rPr>
        <w:t>1.</w:t>
      </w:r>
      <w:bookmarkStart w:id="1492" w:name="_Toc303538974"/>
      <w:bookmarkEnd w:id="1492"/>
      <w:bookmarkStart w:id="1493" w:name="_Toc303538972"/>
      <w:bookmarkEnd w:id="1493"/>
      <w:bookmarkStart w:id="1494" w:name="_Toc303538975"/>
      <w:bookmarkEnd w:id="1494"/>
      <w:bookmarkStart w:id="1495" w:name="_Toc303538973"/>
      <w:bookmarkEnd w:id="1495"/>
      <w:bookmarkStart w:id="1496" w:name="_Toc303538976"/>
      <w:bookmarkEnd w:id="1496"/>
      <w:bookmarkStart w:id="1497" w:name="_Toc296346528"/>
      <w:bookmarkStart w:id="1498" w:name="_Toc296503027"/>
      <w:r>
        <w:rPr>
          <w:rFonts w:hint="eastAsia" w:ascii="宋体" w:hAnsi="宋体" w:eastAsia="宋体" w:cs="宋体"/>
          <w:color w:val="auto"/>
          <w:sz w:val="24"/>
          <w:szCs w:val="24"/>
          <w:highlight w:val="none"/>
        </w:rPr>
        <w:t xml:space="preserve"> 一般约定</w:t>
      </w:r>
      <w:bookmarkEnd w:id="1490"/>
      <w:bookmarkEnd w:id="1491"/>
      <w:bookmarkEnd w:id="1497"/>
      <w:bookmarkEnd w:id="1498"/>
    </w:p>
    <w:p>
      <w:pPr>
        <w:spacing w:before="120" w:after="120" w:line="360" w:lineRule="auto"/>
        <w:ind w:firstLine="422" w:firstLineChars="200"/>
        <w:outlineLvl w:val="4"/>
        <w:rPr>
          <w:rFonts w:ascii="宋体" w:hAnsi="宋体" w:cs="宋体"/>
          <w:b/>
          <w:bCs/>
          <w:color w:val="auto"/>
          <w:sz w:val="21"/>
          <w:szCs w:val="21"/>
          <w:highlight w:val="none"/>
        </w:rPr>
      </w:pPr>
      <w:bookmarkStart w:id="1499" w:name="_Toc296503028"/>
      <w:bookmarkStart w:id="1500" w:name="_Toc337558728"/>
      <w:bookmarkStart w:id="1501" w:name="_Toc296346529"/>
      <w:bookmarkStart w:id="1502" w:name="_Toc351203496"/>
      <w:r>
        <w:rPr>
          <w:rFonts w:hint="eastAsia" w:ascii="宋体" w:hAnsi="宋体" w:cs="宋体"/>
          <w:b/>
          <w:bCs/>
          <w:color w:val="auto"/>
          <w:sz w:val="21"/>
          <w:szCs w:val="21"/>
          <w:highlight w:val="none"/>
        </w:rPr>
        <w:t>1.1词语定义</w:t>
      </w:r>
      <w:bookmarkEnd w:id="1499"/>
      <w:bookmarkEnd w:id="1500"/>
      <w:bookmarkEnd w:id="1501"/>
      <w:r>
        <w:rPr>
          <w:rFonts w:hint="eastAsia" w:ascii="宋体" w:hAnsi="宋体" w:cs="宋体"/>
          <w:b/>
          <w:bCs/>
          <w:color w:val="auto"/>
          <w:sz w:val="21"/>
          <w:szCs w:val="21"/>
          <w:highlight w:val="none"/>
        </w:rPr>
        <w:t>与解释</w:t>
      </w:r>
      <w:bookmarkEnd w:id="1502"/>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合同协议书、通用合同条款、专用合同条款中的下列词语具有本款所赋予的含义：</w:t>
      </w:r>
    </w:p>
    <w:p>
      <w:pPr>
        <w:autoSpaceDE w:val="0"/>
        <w:autoSpaceDN w:val="0"/>
        <w:adjustRightInd w:val="0"/>
        <w:spacing w:line="360" w:lineRule="auto"/>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    1.1.1 合同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1.1.1.1 合同：是指根据法律规定和合同当事人约定具有约束力的文件，构成合同的文件包括合同协议书、中标通知书（如果有）、投标函及其附录（如果有）、专用合同条款</w:t>
      </w:r>
      <w:r>
        <w:rPr>
          <w:rFonts w:hint="eastAsia" w:ascii="宋体" w:hAnsi="宋体" w:cs="宋体"/>
          <w:color w:val="auto"/>
          <w:szCs w:val="21"/>
          <w:highlight w:val="none"/>
        </w:rPr>
        <w:t>及其附件</w:t>
      </w:r>
      <w:r>
        <w:rPr>
          <w:rFonts w:hint="eastAsia" w:ascii="宋体" w:hAnsi="宋体" w:cs="宋体"/>
          <w:color w:val="auto"/>
          <w:kern w:val="0"/>
          <w:szCs w:val="21"/>
          <w:highlight w:val="none"/>
        </w:rPr>
        <w:t>、通用合同条款、技术标准和要求、图纸、已标价工程量清单或预算书以及其他合同文件。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1.1.1.2 合同协议书：是指构成合同的由发包人和承包人共同签署的称为“合同协议书”的书面文件。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1.1.1.3 中标通知书：是指构成合同的由发包人通知承包人中标的书面文件。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1.1.1.4 投标函：是指构成合同的由承包人填写并签署的用于投标的称为“投标函”的文件。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1.1.1.5 投标函附录：是指构成合同的附在投标函后的称为“投标函附录”的文件。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1.1.1.6 技术标准和要求：是指构成合同的施工应当遵守的或指导施工的国家、行业或地方的技术标准和要求，以及合同约定的技术标准和要求。</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1.1.1.7 图纸：是指构成合同的图纸，包括由发包人按照合同约定提供或经发包人批准的设计文件、施工图、鸟瞰图及模型等，以及在合同履行过程中形成的图纸文件。图纸应当按照法律规定审查合格。</w:t>
      </w:r>
    </w:p>
    <w:p>
      <w:pPr>
        <w:autoSpaceDE w:val="0"/>
        <w:autoSpaceDN w:val="0"/>
        <w:adjustRightInd w:val="0"/>
        <w:spacing w:line="360" w:lineRule="auto"/>
        <w:ind w:firstLine="409" w:firstLineChars="195"/>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1.1.1.8 已标价工程量清单：是指构成合同的由承包人按照规定的格式和要求填写并标明价格的工程量清单，包括说明和表格。</w:t>
      </w:r>
    </w:p>
    <w:p>
      <w:pPr>
        <w:autoSpaceDE w:val="0"/>
        <w:autoSpaceDN w:val="0"/>
        <w:adjustRightInd w:val="0"/>
        <w:spacing w:line="360" w:lineRule="auto"/>
        <w:ind w:firstLine="409" w:firstLineChars="195"/>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1.1.1.9 预算书：是指构成合同的由承包人按照发包人规定的格式和要求编制的工程预算文件。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1.1.1.10 其他合同文件：是指经合同当事人约定的与工程施工有关的具有合同约束力的文件或书面协议。合同当事人可以在专用合同条款中进行约定。</w:t>
      </w:r>
    </w:p>
    <w:p>
      <w:pPr>
        <w:autoSpaceDE w:val="0"/>
        <w:autoSpaceDN w:val="0"/>
        <w:adjustRightInd w:val="0"/>
        <w:spacing w:line="360" w:lineRule="auto"/>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    1.1.2 合同当事人及其他相关方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1.1.2.1 合同当事人：是指发包人和（或）承包人。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1.1.2.2 发包人：是指与承包人签订合同协议书的当事人及取得该当事人资格的合法继承人。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1.1.2.3 承包人：是指与发包人签订合同协议书的，具有相应工程施工承包资质的当事人及取得该当事人资格的合法继承人。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1.1.2.4 监理人：是指在专用合同条款中指明的，受发包人委托按照法律规定进行工程监督管理的法人或其他组织。</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1.1.2.5 设计人：是指在专用合同条款中指明的，受发包人委托负责工程设计并具备相应工程设计资质的法人或其他组织。</w:t>
      </w:r>
    </w:p>
    <w:p>
      <w:pPr>
        <w:spacing w:line="360" w:lineRule="auto"/>
        <w:ind w:firstLine="409" w:firstLineChars="195"/>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1.1.2.6 分包人：</w:t>
      </w:r>
      <w:bookmarkStart w:id="1503" w:name="#go5"/>
      <w:bookmarkEnd w:id="1503"/>
      <w:r>
        <w:rPr>
          <w:rFonts w:hint="eastAsia" w:ascii="宋体" w:hAnsi="宋体" w:cs="宋体"/>
          <w:color w:val="auto"/>
          <w:kern w:val="0"/>
          <w:szCs w:val="21"/>
          <w:highlight w:val="none"/>
        </w:rPr>
        <w:t>是指按照法律规定和合同约定，分包部分工程或工作，并与承包人签订分包合同的具有相应资质的法人。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1.1.2.7 发包人代表：是指由发包人任命并派驻施工现场在发包人授权范围内行使发包人权利的人。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1.1.2.8 项目负责人：是指由承包人任命并派驻施工现场，在承包人授权范围内负责合同履行，且按照法律规定具有相应资格的项目负责人。</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1.1.2.9 总监理工程师：是指由监理人任命并派驻施工现场进行工程监理的总负责人。</w:t>
      </w:r>
    </w:p>
    <w:p>
      <w:pPr>
        <w:pStyle w:val="30"/>
        <w:ind w:firstLine="420" w:firstLineChars="200"/>
        <w:outlineLvl w:val="9"/>
        <w:rPr>
          <w:rFonts w:ascii="宋体" w:hAnsi="宋体" w:eastAsia="宋体" w:cs="宋体"/>
          <w:color w:val="auto"/>
          <w:kern w:val="0"/>
          <w:sz w:val="21"/>
          <w:szCs w:val="21"/>
          <w:highlight w:val="none"/>
        </w:rPr>
      </w:pPr>
      <w:bookmarkStart w:id="1504" w:name="_Toc28620"/>
      <w:r>
        <w:rPr>
          <w:rFonts w:hint="eastAsia" w:ascii="宋体" w:hAnsi="宋体" w:eastAsia="宋体" w:cs="宋体"/>
          <w:color w:val="auto"/>
          <w:kern w:val="0"/>
          <w:sz w:val="21"/>
          <w:szCs w:val="21"/>
          <w:highlight w:val="none"/>
          <w:u w:val="none"/>
        </w:rPr>
        <w:t>1.1.2.10</w:t>
      </w:r>
      <w:r>
        <w:rPr>
          <w:rFonts w:hint="eastAsia" w:ascii="宋体" w:hAnsi="宋体" w:eastAsia="宋体" w:cs="宋体"/>
          <w:color w:val="auto"/>
          <w:kern w:val="0"/>
          <w:sz w:val="21"/>
          <w:szCs w:val="21"/>
          <w:highlight w:val="none"/>
        </w:rPr>
        <w:t>承包人</w:t>
      </w:r>
      <w:r>
        <w:rPr>
          <w:rFonts w:hint="eastAsia" w:ascii="宋体" w:hAnsi="宋体" w:eastAsia="宋体" w:cs="宋体"/>
          <w:color w:val="auto"/>
          <w:kern w:val="0"/>
          <w:sz w:val="21"/>
          <w:szCs w:val="21"/>
          <w:highlight w:val="none"/>
          <w:u w:val="none"/>
        </w:rPr>
        <w:t>其他主要</w:t>
      </w:r>
      <w:r>
        <w:rPr>
          <w:rFonts w:hint="eastAsia" w:ascii="宋体" w:hAnsi="宋体" w:eastAsia="宋体" w:cs="宋体"/>
          <w:color w:val="auto"/>
          <w:kern w:val="0"/>
          <w:sz w:val="21"/>
          <w:szCs w:val="21"/>
          <w:highlight w:val="none"/>
        </w:rPr>
        <w:t>施工管理人员</w:t>
      </w:r>
      <w:r>
        <w:rPr>
          <w:rFonts w:hint="eastAsia" w:ascii="宋体" w:hAnsi="宋体" w:eastAsia="宋体" w:cs="宋体"/>
          <w:color w:val="auto"/>
          <w:kern w:val="0"/>
          <w:sz w:val="21"/>
          <w:szCs w:val="21"/>
          <w:highlight w:val="none"/>
          <w:u w:val="none"/>
        </w:rPr>
        <w:t>：</w:t>
      </w:r>
      <w:r>
        <w:rPr>
          <w:rFonts w:hint="eastAsia" w:ascii="宋体" w:hAnsi="宋体" w:eastAsia="宋体" w:cs="宋体"/>
          <w:color w:val="auto"/>
          <w:kern w:val="0"/>
          <w:sz w:val="21"/>
          <w:szCs w:val="21"/>
          <w:highlight w:val="none"/>
        </w:rPr>
        <w:t>包括</w:t>
      </w:r>
      <w:r>
        <w:rPr>
          <w:rFonts w:hint="eastAsia" w:ascii="宋体" w:hAnsi="宋体" w:eastAsia="宋体" w:cs="宋体"/>
          <w:color w:val="auto"/>
          <w:kern w:val="0"/>
          <w:sz w:val="21"/>
          <w:szCs w:val="21"/>
          <w:highlight w:val="none"/>
          <w:u w:val="none"/>
        </w:rPr>
        <w:t>技术负责人、</w:t>
      </w:r>
      <w:r>
        <w:rPr>
          <w:rFonts w:hint="eastAsia" w:ascii="宋体" w:hAnsi="宋体" w:eastAsia="宋体" w:cs="宋体"/>
          <w:color w:val="auto"/>
          <w:kern w:val="0"/>
          <w:sz w:val="21"/>
          <w:szCs w:val="21"/>
          <w:highlight w:val="none"/>
        </w:rPr>
        <w:t>施工员、质量员、安全员、材料员、资料员等</w:t>
      </w:r>
      <w:r>
        <w:rPr>
          <w:rFonts w:hint="eastAsia" w:ascii="宋体" w:hAnsi="宋体" w:eastAsia="宋体" w:cs="宋体"/>
          <w:color w:val="auto"/>
          <w:kern w:val="0"/>
          <w:sz w:val="21"/>
          <w:szCs w:val="21"/>
          <w:highlight w:val="none"/>
          <w:u w:val="none"/>
        </w:rPr>
        <w:t>。</w:t>
      </w:r>
      <w:bookmarkEnd w:id="1504"/>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 工程和设备</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1.1.3.1 工程：是指与合同协议书中工程承包范围对应的永久工程和（或）临时工程。</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1.1.3.2 永久工程：是指按合同约定建造并移交给发包人的工程，包括工程设备。</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1.1.3.3 临时工程：是指为完成合同约定的永久工程所修建的各类临时性工程，不包括施工设备。</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1.1.3.4 单位工程：是指在合同协议书中指明的，具备独立施工条件并能形成独立使用功能的永久工程。</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1.1.3.5 工程设备：是指构成永久工程的机电设备、金属结构设备、仪器及其他类似的设备和装置。</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1.1.3.6 施工设备：是指为完成合同约定的各项工作所需的设备、器具和其他物品，但不包括工程设备、临时工程和材料。</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1.1.3.7 施工现场：是指用于工程施工的场所，以及在专用合同条款中指明作为施工场所组成部分的其他场所，包括永久占地和临时占地。</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1.1.3.8临时设施：是指为完成合同约定的各项工作所服务的临时性生产和生活设施。</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1.1.3.9 永久占地：是指专用合同条款中指明为实施工程需永久占用的土地。</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1.1.3.10 临时占地：是指专用合同条款中指明为实施工程需要临时占用的土地。</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1.1.4 日期和期限</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1.1.4.1 开工日期：包括计划开工日期和实际开工日期。计划开工日期是指合同协议书约定的开工日期；实际开工日期是指监理人按照第7.3.2项〔开工通知〕约定发出的符合法律规定的开工通知中载明的开工日期。</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1.1.4.2 完工日期：包括计划完工日期和实际完工日期。计划完工日期是指合同协议书约定的完工日期；实际完工日期按照第13.2.3项〔完工日期〕的约定确定。 </w:t>
      </w:r>
    </w:p>
    <w:p>
      <w:pPr>
        <w:spacing w:line="360" w:lineRule="auto"/>
        <w:ind w:firstLine="426" w:firstLineChars="203"/>
        <w:outlineLvl w:val="9"/>
        <w:rPr>
          <w:rFonts w:ascii="宋体" w:hAnsi="宋体" w:cs="宋体"/>
          <w:color w:val="auto"/>
          <w:szCs w:val="21"/>
          <w:highlight w:val="none"/>
        </w:rPr>
      </w:pPr>
      <w:r>
        <w:rPr>
          <w:rFonts w:hint="eastAsia" w:ascii="宋体" w:hAnsi="宋体" w:cs="宋体"/>
          <w:color w:val="auto"/>
          <w:kern w:val="0"/>
          <w:szCs w:val="21"/>
          <w:highlight w:val="none"/>
        </w:rPr>
        <w:t>1.1.4.3 工期：是指在合同协议书约定的承包人完成工程所需的期限，包括按照合同约定所作的期限变更。</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1.1.4.4 缺陷责任期：是指承包人按照合同约定承担缺陷修复义务，且发包人预留质量保证金（已缴纳履约保证金的除外）的期限，自工程实际完工日期起计算。</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1.1.4.5 保修期：是指承包人按照合同约定对工程承担保修责任的期限，从工程竣工验收合格之日起计算。</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1.1.4.6 基准日期：招标发包的工程以投标截止日前28天的日期为基准日期，直接发包的工程以合同签订日前28天的日期为基准日期。</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1.1.4.7 天：除特别指明外，均指日历天。合同中按天计算时间的，开始当天不计入，从次日开始计算，期限最后一天的截止时间为当天24:00时。</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1.1.5 合同价格和费用</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kern w:val="0"/>
          <w:szCs w:val="21"/>
          <w:highlight w:val="none"/>
        </w:rPr>
        <w:t>1.1.5.1 签约合同价：是指</w:t>
      </w:r>
      <w:r>
        <w:rPr>
          <w:rFonts w:hint="eastAsia" w:ascii="宋体" w:hAnsi="宋体" w:cs="宋体"/>
          <w:color w:val="auto"/>
          <w:szCs w:val="21"/>
          <w:highlight w:val="none"/>
        </w:rPr>
        <w:t>发包人和承包人在合同协议书中确定的总金额，包括安全文明施工费、暂估价及暂列金额（如有）等。</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1.1.5.2 合同价格：是指发包人用于支付承包人按照合同约定完成承包范围内全部工作的金额，包括合同履行过程中按合同约定发生的价格变化。</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1.1.5.3 费用：是指为履行合同所发生的或将要发生的所有必需的开支，包括管理费和应分摊的其他费用，但不包括利润。</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1.1.5.4 暂估价：是指发包人在工程量清单或预算书中提供的用于支付必然发生但暂时不能确定价格的材料、工程设备的单价、专业工程以及服务工作的金额。</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1.1.5.5 暂列金额：是指发包人在工程量清单或预算书中暂定并包括在合同价格中的一笔款项，用于工程合同签订时尚未确定或者不可预见的所需材料、工程设备、服务的采购，施工中可能发生的工程变更、合同约定调整因素出现时的合同价格调整以及发生的索赔、现场签证确认等的费用。</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1.1.5.6 计日工：是指合同履行过程中，承包人完成发包人提出的零星工作或需要采用计日工计价的变更工作时，按合同中约定的单价计价的一种方式。</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kern w:val="0"/>
          <w:szCs w:val="21"/>
          <w:highlight w:val="none"/>
        </w:rPr>
        <w:t>1.1.5.7 质量保证金</w:t>
      </w:r>
      <w:bookmarkStart w:id="1505" w:name="#go2"/>
      <w:bookmarkEnd w:id="1505"/>
      <w:r>
        <w:rPr>
          <w:rFonts w:hint="eastAsia" w:ascii="宋体" w:hAnsi="宋体" w:cs="宋体"/>
          <w:color w:val="auto"/>
          <w:kern w:val="0"/>
          <w:szCs w:val="21"/>
          <w:highlight w:val="none"/>
        </w:rPr>
        <w:t>：是指按照第15.3款〔质量保证金〕约定承包人用于保证其在缺陷责任期内履行缺陷修补义务的担保</w:t>
      </w:r>
      <w:r>
        <w:rPr>
          <w:rFonts w:hint="eastAsia" w:ascii="宋体" w:hAnsi="宋体" w:cs="宋体"/>
          <w:color w:val="auto"/>
          <w:szCs w:val="21"/>
          <w:highlight w:val="none"/>
        </w:rPr>
        <w:t>。</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1.1.5.8 总价项目：是指在现行国家、行业以及地方的计量规则中无工程量计算规则，在已标价工程量清单或预算书中以总价或以费率形式计算的项目。</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1.1.6 其他</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1.1.6.1 书面形式：是指合同文件、信函、电报、传真等可以有形地表现所载内容的形式。</w:t>
      </w:r>
    </w:p>
    <w:p>
      <w:pPr>
        <w:spacing w:before="120" w:after="120" w:line="360" w:lineRule="auto"/>
        <w:ind w:firstLine="422" w:firstLineChars="200"/>
        <w:outlineLvl w:val="4"/>
        <w:rPr>
          <w:rFonts w:hint="eastAsia" w:ascii="宋体" w:hAnsi="宋体" w:cs="宋体"/>
          <w:b/>
          <w:bCs/>
          <w:color w:val="auto"/>
          <w:sz w:val="21"/>
          <w:szCs w:val="21"/>
          <w:highlight w:val="none"/>
        </w:rPr>
      </w:pPr>
      <w:bookmarkStart w:id="1506" w:name="_Toc296346530"/>
      <w:bookmarkStart w:id="1507" w:name="_Toc296503029"/>
      <w:bookmarkStart w:id="1508" w:name="_Toc351203497"/>
      <w:bookmarkStart w:id="1509" w:name="_Toc337558729"/>
      <w:r>
        <w:rPr>
          <w:rFonts w:hint="eastAsia" w:ascii="宋体" w:hAnsi="宋体" w:cs="宋体"/>
          <w:b/>
          <w:bCs/>
          <w:color w:val="auto"/>
          <w:sz w:val="21"/>
          <w:szCs w:val="21"/>
          <w:highlight w:val="none"/>
          <w:lang w:val="en-US" w:eastAsia="zh-CN"/>
        </w:rPr>
        <w:t>1.2语言文字</w:t>
      </w:r>
      <w:bookmarkEnd w:id="1506"/>
      <w:bookmarkEnd w:id="1507"/>
      <w:bookmarkEnd w:id="1508"/>
      <w:bookmarkEnd w:id="1509"/>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合同以中国的汉语简体文字编写、解释和说明。合同当事人在专用合同条款中约定使用两种以上语言时，汉语为优先解释和说明合同的语言。</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510" w:name="_Toc337558730"/>
      <w:bookmarkStart w:id="1511" w:name="_Toc296503030"/>
      <w:bookmarkStart w:id="1512" w:name="_Toc296346531"/>
      <w:bookmarkStart w:id="1513" w:name="_Toc351203498"/>
      <w:r>
        <w:rPr>
          <w:rFonts w:hint="eastAsia" w:ascii="宋体" w:hAnsi="宋体" w:cs="宋体"/>
          <w:b/>
          <w:bCs/>
          <w:color w:val="auto"/>
          <w:sz w:val="21"/>
          <w:szCs w:val="21"/>
          <w:highlight w:val="none"/>
          <w:lang w:val="en-US" w:eastAsia="zh-CN"/>
        </w:rPr>
        <w:t>1.3法律</w:t>
      </w:r>
      <w:bookmarkEnd w:id="1510"/>
      <w:bookmarkEnd w:id="1511"/>
      <w:bookmarkEnd w:id="1512"/>
      <w:bookmarkEnd w:id="1513"/>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合同所称法律是指中华人民共和国法律、行政法规、部门规章，以及工程所在地的地方性法规、自治条例、单行条例和地方政府规章等。</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合同当事人可以在专用合同条款中约定合同适用的其他规范性文件。</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514" w:name="_Toc351203499"/>
      <w:r>
        <w:rPr>
          <w:rFonts w:hint="eastAsia" w:ascii="宋体" w:hAnsi="宋体" w:cs="宋体"/>
          <w:b/>
          <w:bCs/>
          <w:color w:val="auto"/>
          <w:sz w:val="21"/>
          <w:szCs w:val="21"/>
          <w:highlight w:val="none"/>
          <w:lang w:val="en-US" w:eastAsia="zh-CN"/>
        </w:rPr>
        <w:t>1.4 标准和规范</w:t>
      </w:r>
      <w:bookmarkEnd w:id="1514"/>
    </w:p>
    <w:p>
      <w:pPr>
        <w:autoSpaceDE w:val="0"/>
        <w:autoSpaceDN w:val="0"/>
        <w:adjustRightInd w:val="0"/>
        <w:spacing w:line="360" w:lineRule="auto"/>
        <w:ind w:firstLine="640"/>
        <w:jc w:val="left"/>
        <w:rPr>
          <w:rFonts w:ascii="宋体" w:hAnsi="宋体" w:cs="宋体"/>
          <w:color w:val="auto"/>
          <w:kern w:val="0"/>
          <w:szCs w:val="21"/>
          <w:highlight w:val="none"/>
        </w:rPr>
      </w:pPr>
      <w:r>
        <w:rPr>
          <w:rFonts w:hint="eastAsia" w:ascii="宋体" w:hAnsi="宋体" w:cs="宋体"/>
          <w:color w:val="auto"/>
          <w:kern w:val="0"/>
          <w:szCs w:val="21"/>
          <w:highlight w:val="none"/>
        </w:rPr>
        <w:t>1.4.1 适用于工程的国家标准、行业标准、工程所在地的地方性标准，以及相应的规范、规程等，合同当事人有特别要求的，应在专用合同条款中约定。</w:t>
      </w:r>
    </w:p>
    <w:p>
      <w:pPr>
        <w:autoSpaceDE w:val="0"/>
        <w:autoSpaceDN w:val="0"/>
        <w:adjustRightInd w:val="0"/>
        <w:spacing w:line="360" w:lineRule="auto"/>
        <w:ind w:firstLine="640"/>
        <w:jc w:val="left"/>
        <w:rPr>
          <w:rFonts w:ascii="宋体" w:hAnsi="宋体" w:cs="宋体"/>
          <w:color w:val="auto"/>
          <w:kern w:val="0"/>
          <w:szCs w:val="21"/>
          <w:highlight w:val="none"/>
        </w:rPr>
      </w:pPr>
      <w:r>
        <w:rPr>
          <w:rFonts w:hint="eastAsia" w:ascii="宋体" w:hAnsi="宋体" w:cs="宋体"/>
          <w:color w:val="auto"/>
          <w:kern w:val="0"/>
          <w:szCs w:val="21"/>
          <w:highlight w:val="none"/>
        </w:rPr>
        <w:t>1.4.2 发包人对工程的技术标准、功能要求高于或严于现行国家、行业或地方标准的，应当在专用合同条款中予以明确。除专用合同条款另有约定外，应视为承包人在签订合同前已充分预见前述技术标准和功能要求的复杂程度，签约合同价中已包含由此产生的费用。</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515" w:name="_Toc351203500"/>
      <w:r>
        <w:rPr>
          <w:rFonts w:hint="eastAsia" w:ascii="宋体" w:hAnsi="宋体" w:cs="宋体"/>
          <w:b/>
          <w:bCs/>
          <w:color w:val="auto"/>
          <w:sz w:val="21"/>
          <w:szCs w:val="21"/>
          <w:highlight w:val="none"/>
          <w:lang w:val="en-US" w:eastAsia="zh-CN"/>
        </w:rPr>
        <w:t>1</w:t>
      </w:r>
      <w:bookmarkStart w:id="1516" w:name="_Toc296346532"/>
      <w:bookmarkStart w:id="1517" w:name="_Toc296503031"/>
      <w:bookmarkStart w:id="1518" w:name="_Toc337558731"/>
      <w:r>
        <w:rPr>
          <w:rFonts w:hint="eastAsia" w:ascii="宋体" w:hAnsi="宋体" w:cs="宋体"/>
          <w:b/>
          <w:bCs/>
          <w:color w:val="auto"/>
          <w:sz w:val="21"/>
          <w:szCs w:val="21"/>
          <w:highlight w:val="none"/>
          <w:lang w:val="en-US" w:eastAsia="zh-CN"/>
        </w:rPr>
        <w:t>.5 合同文件的优先顺序</w:t>
      </w:r>
      <w:bookmarkEnd w:id="1515"/>
    </w:p>
    <w:bookmarkEnd w:id="1516"/>
    <w:bookmarkEnd w:id="1517"/>
    <w:bookmarkEnd w:id="1518"/>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组成合同的各项文件应互相解释，互为说明。除专用合同条款另有约定外，解释合同文件的优先顺序如下：</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（1）合同协议书；</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（2）中标通知书（如果有）；</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（3）投标函及其附录（如果有）；</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（4）专用合同条款</w:t>
      </w:r>
      <w:r>
        <w:rPr>
          <w:rFonts w:hint="eastAsia" w:ascii="宋体" w:hAnsi="宋体" w:cs="宋体"/>
          <w:color w:val="auto"/>
          <w:szCs w:val="21"/>
          <w:highlight w:val="none"/>
        </w:rPr>
        <w:t>及其附件</w:t>
      </w:r>
      <w:r>
        <w:rPr>
          <w:rFonts w:hint="eastAsia" w:ascii="宋体" w:hAnsi="宋体" w:cs="宋体"/>
          <w:color w:val="auto"/>
          <w:kern w:val="0"/>
          <w:szCs w:val="21"/>
          <w:highlight w:val="none"/>
        </w:rPr>
        <w:t>；</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（5）通用合同条款；</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（6）技术标准和要求；</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（7）图纸；</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（8）已标价工程量清单或预算书；</w:t>
      </w:r>
    </w:p>
    <w:p>
      <w:pPr>
        <w:autoSpaceDE w:val="0"/>
        <w:autoSpaceDN w:val="0"/>
        <w:adjustRightIn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（9）其他合同文件。</w:t>
      </w:r>
    </w:p>
    <w:p>
      <w:pPr>
        <w:spacing w:line="360" w:lineRule="auto"/>
        <w:ind w:firstLine="447" w:firstLineChars="213"/>
        <w:rPr>
          <w:rFonts w:ascii="宋体" w:hAnsi="宋体" w:cs="宋体"/>
          <w:color w:val="auto"/>
          <w:szCs w:val="21"/>
          <w:highlight w:val="none"/>
        </w:rPr>
      </w:pPr>
      <w:r>
        <w:rPr>
          <w:rFonts w:hint="eastAsia" w:ascii="宋体" w:hAnsi="宋体" w:cs="宋体"/>
          <w:color w:val="auto"/>
          <w:szCs w:val="21"/>
          <w:highlight w:val="none"/>
        </w:rPr>
        <w:t>上述各项合同文件包括合同当事人就该项合同文件所作出的补充和修改，属于同一类内容的文件，应以最新签署的为准。</w:t>
      </w:r>
    </w:p>
    <w:p>
      <w:pPr>
        <w:spacing w:line="360" w:lineRule="auto"/>
        <w:ind w:firstLine="447" w:firstLineChars="213"/>
        <w:rPr>
          <w:rFonts w:ascii="宋体" w:hAnsi="宋体" w:cs="宋体"/>
          <w:color w:val="auto"/>
          <w:szCs w:val="21"/>
          <w:highlight w:val="none"/>
        </w:rPr>
      </w:pPr>
      <w:r>
        <w:rPr>
          <w:rFonts w:hint="eastAsia" w:ascii="宋体" w:hAnsi="宋体" w:cs="宋体"/>
          <w:color w:val="auto"/>
          <w:szCs w:val="21"/>
          <w:highlight w:val="none"/>
        </w:rPr>
        <w:t>在合同订立及履行过程中形成的与合同有关的文件均构成合同文件组成部分，并根据其性质确定优先解释顺序。</w:t>
      </w:r>
    </w:p>
    <w:p>
      <w:pPr>
        <w:pStyle w:val="6"/>
        <w:spacing w:before="120" w:after="120" w:line="360" w:lineRule="auto"/>
        <w:ind w:firstLine="422" w:firstLineChars="200"/>
        <w:rPr>
          <w:rFonts w:ascii="宋体" w:hAnsi="宋体" w:cs="宋体"/>
          <w:color w:val="auto"/>
          <w:sz w:val="21"/>
          <w:szCs w:val="21"/>
          <w:highlight w:val="none"/>
        </w:rPr>
      </w:pPr>
      <w:bookmarkStart w:id="1519" w:name="_Toc351203501"/>
      <w:r>
        <w:rPr>
          <w:rFonts w:hint="eastAsia" w:ascii="宋体" w:hAnsi="宋体" w:cs="宋体"/>
          <w:color w:val="auto"/>
          <w:sz w:val="21"/>
          <w:szCs w:val="21"/>
          <w:highlight w:val="none"/>
        </w:rPr>
        <w:t>1</w:t>
      </w:r>
      <w:bookmarkStart w:id="1520" w:name="_Toc337558732"/>
      <w:bookmarkStart w:id="1521" w:name="_Toc296346533"/>
      <w:bookmarkStart w:id="1522" w:name="_Toc296503032"/>
      <w:r>
        <w:rPr>
          <w:rFonts w:hint="eastAsia" w:ascii="宋体" w:hAnsi="宋体" w:cs="宋体"/>
          <w:color w:val="auto"/>
          <w:sz w:val="21"/>
          <w:szCs w:val="21"/>
          <w:highlight w:val="none"/>
        </w:rPr>
        <w:t>.6图纸和承包人文件</w:t>
      </w:r>
      <w:bookmarkEnd w:id="1519"/>
    </w:p>
    <w:bookmarkEnd w:id="1520"/>
    <w:bookmarkEnd w:id="1521"/>
    <w:bookmarkEnd w:id="1522"/>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 图纸的提供和交底</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专用合同条款约定的期限、数量和内容向承包人免费提供图纸，并组织承包人、监理人和设计人进行图纸会审和设计交底。发包人至迟不得晚于第7.3.2项〔开工通知〕载明的开工日期前14天向承包人提供图纸。</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因发包人未按合同约定提供图纸导致承包人费用增加和（或）工期延误的，按照第7.5.1项〔因发包人原因导致工期延误〕约定办理。</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 图纸的错误</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收到发包人提供的图纸后，发现图纸存在差错、遗漏或缺陷的，应及时通知监理人。监理人接到该通知后，应附具相关意见并立即报送发包人，发包人应在收到监理人报送的通知后的合理时间内作出决定。合理时间是指发包人在收到监理人的报送通知后，尽其努力且不懈怠地完成图纸修改补充所需的时间。</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 图纸的修改和补充</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图纸需要修改和补充的，应经图纸原设计人及审批部门同意，并由监理人在工程或工程相应部位施工前将修改后的图纸或补充图纸提交给承包人，承包人应按修改或补充后的图纸施工。</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1.6.4 承包人文件</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承包人应按照专用合同条款的约定提供应当由其编制的与工程施工有关的文件，并按照专用合同条款约定的期限、数量和形式提交监理人，并由监理人报送发包人。</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监理人应在收到承包人文件后7天内审查完毕，监理人对承包人文件有异议的，承包人应予以修改，并重新报送监理人。监理人的审查并不减轻或免除承包人根据合同约定应当承担的责任。</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 图纸和承包人文件的保管</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除专用合同条款另有约定外，承包人应在施工现场另外保存一套完整的图纸和承包人文件，供发包人、监理人及有关人员进行工程检查时使用。</w:t>
      </w:r>
    </w:p>
    <w:p>
      <w:pPr>
        <w:pStyle w:val="6"/>
        <w:spacing w:before="120" w:after="120" w:line="360" w:lineRule="auto"/>
        <w:ind w:firstLine="422" w:firstLineChars="200"/>
        <w:rPr>
          <w:rFonts w:ascii="宋体" w:hAnsi="宋体" w:cs="宋体"/>
          <w:color w:val="auto"/>
          <w:sz w:val="21"/>
          <w:szCs w:val="21"/>
          <w:highlight w:val="none"/>
        </w:rPr>
      </w:pPr>
      <w:bookmarkStart w:id="1523" w:name="_Toc351203502"/>
      <w:r>
        <w:rPr>
          <w:rFonts w:hint="eastAsia" w:ascii="宋体" w:hAnsi="宋体" w:cs="宋体"/>
          <w:color w:val="auto"/>
          <w:sz w:val="21"/>
          <w:szCs w:val="21"/>
          <w:highlight w:val="none"/>
        </w:rPr>
        <w:t>1</w:t>
      </w:r>
      <w:bookmarkStart w:id="1524" w:name="_Toc337558733"/>
      <w:bookmarkStart w:id="1525" w:name="_Toc296346534"/>
      <w:bookmarkStart w:id="1526" w:name="_Toc296503033"/>
      <w:r>
        <w:rPr>
          <w:rFonts w:hint="eastAsia" w:ascii="宋体" w:hAnsi="宋体" w:cs="宋体"/>
          <w:color w:val="auto"/>
          <w:sz w:val="21"/>
          <w:szCs w:val="21"/>
          <w:highlight w:val="none"/>
        </w:rPr>
        <w:t>.7联络</w:t>
      </w:r>
      <w:bookmarkEnd w:id="1523"/>
    </w:p>
    <w:bookmarkEnd w:id="1524"/>
    <w:bookmarkEnd w:id="1525"/>
    <w:bookmarkEnd w:id="1526"/>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与合同有关的通知、批准、证明、证书、指示、指令、要求、请求、同意、意见、确定和决定等，均应采用书面形式，并应在合同约定的期限内送达接收人和送达地点。</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1.7.2 发包人和承包人应在专用合同条款中约定各自的送达接收人和送达地点。任何一方合同当事人指定的接收人或送达地点发生变动的，应提前3天以书面形式通知对方。</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1.7.3 发包人和承包人应当及时签收另一方送达至送达地点和指定接收人的来往信函。拒不签收的，由此增加的费用和（或）延误的工期由拒绝接收一方承担。</w:t>
      </w:r>
    </w:p>
    <w:p>
      <w:pPr>
        <w:pStyle w:val="6"/>
        <w:spacing w:before="120" w:after="120" w:line="360" w:lineRule="auto"/>
        <w:ind w:firstLine="422" w:firstLineChars="200"/>
        <w:rPr>
          <w:rFonts w:ascii="宋体" w:hAnsi="宋体" w:cs="宋体"/>
          <w:color w:val="auto"/>
          <w:sz w:val="21"/>
          <w:szCs w:val="21"/>
          <w:highlight w:val="none"/>
        </w:rPr>
      </w:pPr>
      <w:bookmarkStart w:id="1527" w:name="_Toc351203503"/>
      <w:r>
        <w:rPr>
          <w:rFonts w:hint="eastAsia" w:ascii="宋体" w:hAnsi="宋体" w:cs="宋体"/>
          <w:color w:val="auto"/>
          <w:sz w:val="21"/>
          <w:szCs w:val="21"/>
          <w:highlight w:val="none"/>
        </w:rPr>
        <w:t>1</w:t>
      </w:r>
      <w:bookmarkStart w:id="1528" w:name="_Toc337558734"/>
      <w:bookmarkStart w:id="1529" w:name="_Toc296503035"/>
      <w:bookmarkStart w:id="1530" w:name="_Toc296346536"/>
      <w:r>
        <w:rPr>
          <w:rFonts w:hint="eastAsia" w:ascii="宋体" w:hAnsi="宋体" w:cs="宋体"/>
          <w:color w:val="auto"/>
          <w:sz w:val="21"/>
          <w:szCs w:val="21"/>
          <w:highlight w:val="none"/>
        </w:rPr>
        <w:t>.8严禁贿赂</w:t>
      </w:r>
      <w:bookmarkEnd w:id="1527"/>
    </w:p>
    <w:bookmarkEnd w:id="1528"/>
    <w:bookmarkEnd w:id="1529"/>
    <w:bookmarkEnd w:id="1530"/>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合同当事人不得以贿赂或变相贿赂的方式，谋取非法利益或损害对方权益。因一方合同当事人的贿赂造成对方损失的，应赔偿损失，并承担相应的法律责任。</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承包人不得与监理人或发包人聘请的第三方串通损害发包人利益。未经发包人书面同意，承包人不得为监理人提供合同约定以外的通讯设备、交通工具及其他任何形式的利益，不得向监理人支付报酬。</w:t>
      </w:r>
    </w:p>
    <w:p>
      <w:pPr>
        <w:pStyle w:val="6"/>
        <w:spacing w:before="120" w:after="120" w:line="360" w:lineRule="auto"/>
        <w:ind w:firstLine="422" w:firstLineChars="200"/>
        <w:rPr>
          <w:rFonts w:ascii="宋体" w:hAnsi="宋体" w:cs="宋体"/>
          <w:color w:val="auto"/>
          <w:sz w:val="21"/>
          <w:szCs w:val="21"/>
          <w:highlight w:val="none"/>
        </w:rPr>
      </w:pPr>
      <w:bookmarkStart w:id="1531" w:name="_Toc351203504"/>
      <w:r>
        <w:rPr>
          <w:rFonts w:hint="eastAsia" w:ascii="宋体" w:hAnsi="宋体" w:cs="宋体"/>
          <w:color w:val="auto"/>
          <w:sz w:val="21"/>
          <w:szCs w:val="21"/>
          <w:highlight w:val="none"/>
        </w:rPr>
        <w:t>1</w:t>
      </w:r>
      <w:bookmarkStart w:id="1532" w:name="_Toc296346537"/>
      <w:bookmarkStart w:id="1533" w:name="_Toc337558735"/>
      <w:bookmarkStart w:id="1534" w:name="_Toc296503036"/>
      <w:r>
        <w:rPr>
          <w:rFonts w:hint="eastAsia" w:ascii="宋体" w:hAnsi="宋体" w:cs="宋体"/>
          <w:color w:val="auto"/>
          <w:sz w:val="21"/>
          <w:szCs w:val="21"/>
          <w:highlight w:val="none"/>
        </w:rPr>
        <w:t>.9化石、文物</w:t>
      </w:r>
      <w:bookmarkEnd w:id="1531"/>
    </w:p>
    <w:bookmarkEnd w:id="1532"/>
    <w:bookmarkEnd w:id="1533"/>
    <w:bookmarkEnd w:id="1534"/>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发包人、监理人和承包人应按有关政府行政管理部门要求采取妥善的保护措施，由此增加的费用和（或）延误的工期由发包人承担。</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承包人发现文物后不及时报告或隐瞒不报，致使文物丢失或损坏的，应赔偿损失，并承担相应的法律责任。</w:t>
      </w:r>
    </w:p>
    <w:p>
      <w:pPr>
        <w:pStyle w:val="6"/>
        <w:spacing w:before="120" w:after="120" w:line="360" w:lineRule="auto"/>
        <w:ind w:firstLine="422" w:firstLineChars="200"/>
        <w:rPr>
          <w:rFonts w:ascii="宋体" w:hAnsi="宋体" w:cs="宋体"/>
          <w:color w:val="auto"/>
          <w:sz w:val="21"/>
          <w:szCs w:val="21"/>
          <w:highlight w:val="none"/>
        </w:rPr>
      </w:pPr>
      <w:bookmarkStart w:id="1535" w:name="_Toc351203505"/>
      <w:r>
        <w:rPr>
          <w:rFonts w:hint="eastAsia" w:ascii="宋体" w:hAnsi="宋体" w:cs="宋体"/>
          <w:color w:val="auto"/>
          <w:sz w:val="21"/>
          <w:szCs w:val="21"/>
          <w:highlight w:val="none"/>
        </w:rPr>
        <w:t>1</w:t>
      </w:r>
      <w:bookmarkStart w:id="1536" w:name="_Toc337558736"/>
      <w:r>
        <w:rPr>
          <w:rFonts w:hint="eastAsia" w:ascii="宋体" w:hAnsi="宋体" w:cs="宋体"/>
          <w:color w:val="auto"/>
          <w:sz w:val="21"/>
          <w:szCs w:val="21"/>
          <w:highlight w:val="none"/>
        </w:rPr>
        <w:t>.10交通运输</w:t>
      </w:r>
      <w:bookmarkEnd w:id="1535"/>
    </w:p>
    <w:bookmarkEnd w:id="1536"/>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1.10.1 出入现场的权利</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应根据施工需要，负责取得出入施工现场所需的批准手续和全部权利，以及取得因施工所需修建道路、桥梁以及其他基础设施的权利，并承担相关手续费用和建设费用。承包人应协助发包人办理修建场内外道路、桥梁以及其他基础设施的手续。</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承包人应在订立合同前查勘施工现场，并根据工程规模及技术参数合理预见工程施工所需的进出施工现场的方式、手段、路径等。因承包人未合理预见所增加的费用和（或）延误的工期由承包人承担。</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1.10.2 场外交通</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1.10.3场内交通</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场外交通和场内交通的边界由合同当事人在专用合同条款中约定。</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1.10.4 超大件和超重件的运输</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1.10.5 道路和桥梁的损坏责任</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1.10.6 水路和航空运输</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本款前述各项的内容适用于水路运输和航空运输，其中“道路”一词的涵义包括河道、航线、船闸、机场、码头、堤防以及水路或航空运输中其他相似结构物；“车辆”一词的涵义包括船舶和飞机等。</w:t>
      </w:r>
    </w:p>
    <w:p>
      <w:pPr>
        <w:pStyle w:val="6"/>
        <w:spacing w:before="120" w:after="120" w:line="360" w:lineRule="auto"/>
        <w:ind w:firstLine="422" w:firstLineChars="200"/>
        <w:rPr>
          <w:rFonts w:ascii="宋体" w:hAnsi="宋体" w:cs="宋体"/>
          <w:color w:val="auto"/>
          <w:sz w:val="21"/>
          <w:szCs w:val="21"/>
          <w:highlight w:val="none"/>
        </w:rPr>
      </w:pPr>
      <w:bookmarkStart w:id="1537" w:name="_Toc351203506"/>
      <w:r>
        <w:rPr>
          <w:rFonts w:hint="eastAsia" w:ascii="宋体" w:hAnsi="宋体" w:cs="宋体"/>
          <w:color w:val="auto"/>
          <w:sz w:val="21"/>
          <w:szCs w:val="21"/>
          <w:highlight w:val="none"/>
        </w:rPr>
        <w:t>1</w:t>
      </w:r>
      <w:bookmarkStart w:id="1538" w:name="_Toc337558737"/>
      <w:bookmarkStart w:id="1539" w:name="_Toc296503037"/>
      <w:bookmarkStart w:id="1540" w:name="_Toc296346538"/>
      <w:r>
        <w:rPr>
          <w:rFonts w:hint="eastAsia" w:ascii="宋体" w:hAnsi="宋体" w:cs="宋体"/>
          <w:color w:val="auto"/>
          <w:sz w:val="21"/>
          <w:szCs w:val="21"/>
          <w:highlight w:val="none"/>
        </w:rPr>
        <w:t>.11知识产权</w:t>
      </w:r>
      <w:bookmarkEnd w:id="1537"/>
      <w:bookmarkEnd w:id="1538"/>
    </w:p>
    <w:bookmarkEnd w:id="1539"/>
    <w:bookmarkEnd w:id="1540"/>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1.11.1 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1.11.2 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意，承包人不得为了合同以外的目的而复制、使用上述文件或将之提供给任何第三方。</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1.11.3 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pPr>
        <w:rPr>
          <w:rFonts w:ascii="宋体" w:hAnsi="宋体" w:cs="宋体"/>
          <w:color w:val="auto"/>
          <w:szCs w:val="21"/>
          <w:highlight w:val="none"/>
        </w:rPr>
      </w:pPr>
      <w:r>
        <w:rPr>
          <w:rFonts w:hint="eastAsia" w:ascii="宋体" w:hAnsi="宋体" w:cs="宋体"/>
          <w:color w:val="auto"/>
          <w:szCs w:val="21"/>
          <w:highlight w:val="none"/>
        </w:rPr>
        <w:t>1.11.4 除专用合同条款另有约定外，承包人在合同签订前和签订时已确定采用的专利、专有技术、技术秘密的使用费已包含在签约合同价中。</w:t>
      </w:r>
    </w:p>
    <w:p>
      <w:pPr>
        <w:pStyle w:val="6"/>
        <w:spacing w:before="120" w:after="120" w:line="360" w:lineRule="auto"/>
        <w:ind w:firstLine="422" w:firstLineChars="200"/>
        <w:rPr>
          <w:rFonts w:ascii="宋体" w:hAnsi="宋体" w:cs="宋体"/>
          <w:color w:val="auto"/>
          <w:sz w:val="21"/>
          <w:szCs w:val="21"/>
          <w:highlight w:val="none"/>
        </w:rPr>
      </w:pPr>
      <w:bookmarkStart w:id="1541" w:name="_Toc351203507"/>
      <w:r>
        <w:rPr>
          <w:rFonts w:hint="eastAsia" w:ascii="宋体" w:hAnsi="宋体" w:cs="宋体"/>
          <w:color w:val="auto"/>
          <w:sz w:val="21"/>
          <w:szCs w:val="21"/>
          <w:highlight w:val="none"/>
        </w:rPr>
        <w:t>1</w:t>
      </w:r>
      <w:bookmarkStart w:id="1542" w:name="_Toc337558738"/>
      <w:r>
        <w:rPr>
          <w:rFonts w:hint="eastAsia" w:ascii="宋体" w:hAnsi="宋体" w:cs="宋体"/>
          <w:color w:val="auto"/>
          <w:sz w:val="21"/>
          <w:szCs w:val="21"/>
          <w:highlight w:val="none"/>
        </w:rPr>
        <w:t>.12保密</w:t>
      </w:r>
      <w:bookmarkEnd w:id="1541"/>
    </w:p>
    <w:bookmarkEnd w:id="1542"/>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除法律规定或合同另有约定外，未经发包人同意，承包人不得将发包人提供的图纸、文件以及声明需要保密的资料信息等商业秘密泄露给第三方。</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除法律规定或合同另有约定外，未经承包人同意，发包人不得将承包人提供的技术秘密及声明需要保密的资料信息等商业秘密泄露给第三方。</w:t>
      </w:r>
    </w:p>
    <w:p>
      <w:pPr>
        <w:pStyle w:val="6"/>
        <w:spacing w:before="120" w:after="120" w:line="360" w:lineRule="auto"/>
        <w:ind w:firstLine="422" w:firstLineChars="200"/>
        <w:rPr>
          <w:rFonts w:ascii="宋体" w:hAnsi="宋体" w:cs="宋体"/>
          <w:color w:val="auto"/>
          <w:sz w:val="21"/>
          <w:szCs w:val="21"/>
          <w:highlight w:val="none"/>
        </w:rPr>
      </w:pPr>
      <w:bookmarkStart w:id="1543" w:name="_Toc351203508"/>
      <w:r>
        <w:rPr>
          <w:rFonts w:hint="eastAsia" w:ascii="宋体" w:hAnsi="宋体" w:cs="宋体"/>
          <w:color w:val="auto"/>
          <w:sz w:val="21"/>
          <w:szCs w:val="21"/>
          <w:highlight w:val="none"/>
        </w:rPr>
        <w:t>1.13工程量清单错误的修正</w:t>
      </w:r>
      <w:bookmarkEnd w:id="1543"/>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除专用合同条款另有约定外，发包人提供的工程量清单，应被认为是准确的和完整的。出现下列情形之一时，发包人应予以修正，并相应调整合同价格：</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（1）工程量清单存在缺项、漏项的；</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（2）工程量清单偏差超出专用合同条款约定的工程量偏差范围的；</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（3）未按照国家现行计量规范强制性规定计量的。</w:t>
      </w:r>
    </w:p>
    <w:p>
      <w:pPr>
        <w:pStyle w:val="5"/>
        <w:spacing w:before="120" w:after="120" w:line="360" w:lineRule="auto"/>
        <w:outlineLvl w:val="3"/>
        <w:rPr>
          <w:rFonts w:hint="eastAsia" w:ascii="宋体" w:hAnsi="宋体" w:eastAsia="宋体" w:cs="宋体"/>
          <w:color w:val="auto"/>
          <w:sz w:val="24"/>
          <w:szCs w:val="24"/>
          <w:highlight w:val="none"/>
        </w:rPr>
      </w:pPr>
      <w:bookmarkStart w:id="1544" w:name="_Toc351203509"/>
      <w:r>
        <w:rPr>
          <w:rFonts w:hint="eastAsia" w:ascii="宋体" w:hAnsi="宋体" w:eastAsia="宋体" w:cs="宋体"/>
          <w:color w:val="auto"/>
          <w:sz w:val="24"/>
          <w:szCs w:val="24"/>
          <w:highlight w:val="none"/>
        </w:rPr>
        <w:t>2</w:t>
      </w:r>
      <w:bookmarkStart w:id="1545" w:name="_Toc296503038"/>
      <w:bookmarkStart w:id="1546" w:name="_Toc296346539"/>
      <w:bookmarkStart w:id="1547" w:name="_Toc337558739"/>
      <w:bookmarkStart w:id="1548" w:name="OLE_LINK1"/>
      <w:bookmarkStart w:id="1549" w:name="OLE_LINK2"/>
      <w:r>
        <w:rPr>
          <w:rFonts w:hint="eastAsia" w:ascii="宋体" w:hAnsi="宋体" w:eastAsia="宋体" w:cs="宋体"/>
          <w:color w:val="auto"/>
          <w:sz w:val="24"/>
          <w:szCs w:val="24"/>
          <w:highlight w:val="none"/>
        </w:rPr>
        <w:t>. 发包人</w:t>
      </w:r>
      <w:bookmarkEnd w:id="1544"/>
    </w:p>
    <w:bookmarkEnd w:id="1545"/>
    <w:bookmarkEnd w:id="1546"/>
    <w:bookmarkEnd w:id="1547"/>
    <w:p>
      <w:pPr>
        <w:pStyle w:val="6"/>
        <w:spacing w:before="120" w:after="120" w:line="360" w:lineRule="auto"/>
        <w:ind w:firstLine="422" w:firstLineChars="200"/>
        <w:rPr>
          <w:rFonts w:ascii="宋体" w:hAnsi="宋体" w:cs="宋体"/>
          <w:color w:val="auto"/>
          <w:sz w:val="21"/>
          <w:szCs w:val="21"/>
          <w:highlight w:val="none"/>
        </w:rPr>
      </w:pPr>
      <w:bookmarkStart w:id="1550" w:name="_Toc351203510"/>
      <w:r>
        <w:rPr>
          <w:rFonts w:hint="eastAsia" w:ascii="宋体" w:hAnsi="宋体" w:cs="宋体"/>
          <w:color w:val="auto"/>
          <w:sz w:val="21"/>
          <w:szCs w:val="21"/>
          <w:highlight w:val="none"/>
        </w:rPr>
        <w:t>2</w:t>
      </w:r>
      <w:bookmarkStart w:id="1551" w:name="_Toc337558740"/>
      <w:bookmarkStart w:id="1552" w:name="_Toc296503039"/>
      <w:bookmarkStart w:id="1553" w:name="_Toc296346540"/>
      <w:r>
        <w:rPr>
          <w:rFonts w:hint="eastAsia" w:ascii="宋体" w:hAnsi="宋体" w:cs="宋体"/>
          <w:color w:val="auto"/>
          <w:sz w:val="21"/>
          <w:szCs w:val="21"/>
          <w:highlight w:val="none"/>
        </w:rPr>
        <w:t>.1 许可或批准</w:t>
      </w:r>
      <w:bookmarkEnd w:id="1550"/>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因发包人原因未能及时办理完毕前述许可、批准或备案，由发包人承担由此增加的费用和（或）延误的工期，并支付承包人合理的利润。</w:t>
      </w:r>
    </w:p>
    <w:p>
      <w:pPr>
        <w:pStyle w:val="6"/>
        <w:spacing w:before="120" w:after="120" w:line="360" w:lineRule="auto"/>
        <w:ind w:firstLine="422" w:firstLineChars="200"/>
        <w:rPr>
          <w:rFonts w:ascii="宋体" w:hAnsi="宋体" w:cs="宋体"/>
          <w:color w:val="auto"/>
          <w:sz w:val="21"/>
          <w:szCs w:val="21"/>
          <w:highlight w:val="none"/>
        </w:rPr>
      </w:pPr>
      <w:bookmarkStart w:id="1554" w:name="_Toc351203511"/>
      <w:r>
        <w:rPr>
          <w:rFonts w:hint="eastAsia" w:ascii="宋体" w:hAnsi="宋体" w:cs="宋体"/>
          <w:color w:val="auto"/>
          <w:sz w:val="21"/>
          <w:szCs w:val="21"/>
          <w:highlight w:val="none"/>
        </w:rPr>
        <w:t>2.2 发包人代表</w:t>
      </w:r>
      <w:bookmarkEnd w:id="1554"/>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7天书面通知承包人。</w:t>
      </w:r>
    </w:p>
    <w:p>
      <w:pPr>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发包人代表不能按照合同约定履行其职责及义务，并导致合同无法继续正常履行的，承包人可以要求发包人撤换发包人代表。</w:t>
      </w:r>
    </w:p>
    <w:p>
      <w:pPr>
        <w:pStyle w:val="6"/>
        <w:spacing w:before="120" w:after="120" w:line="360" w:lineRule="auto"/>
        <w:ind w:firstLine="422" w:firstLineChars="200"/>
        <w:rPr>
          <w:rFonts w:ascii="宋体" w:hAnsi="宋体" w:cs="宋体"/>
          <w:color w:val="auto"/>
          <w:sz w:val="21"/>
          <w:szCs w:val="21"/>
          <w:highlight w:val="none"/>
        </w:rPr>
      </w:pPr>
      <w:bookmarkStart w:id="1555" w:name="_Toc351203512"/>
      <w:r>
        <w:rPr>
          <w:rFonts w:hint="eastAsia" w:ascii="宋体" w:hAnsi="宋体" w:cs="宋体"/>
          <w:color w:val="auto"/>
          <w:sz w:val="21"/>
          <w:szCs w:val="21"/>
          <w:highlight w:val="none"/>
        </w:rPr>
        <w:t>2.3 发包人人员</w:t>
      </w:r>
      <w:bookmarkEnd w:id="1555"/>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发包人应要求在施工现场的发包人人员遵守法律及有关安全、质量、环境保护、文明施工等规定，并保障承包人免于承受因发包人人员未遵守上述要求给承包人造成的损失和责任。</w:t>
      </w:r>
    </w:p>
    <w:p>
      <w:pPr>
        <w:spacing w:line="360" w:lineRule="auto"/>
        <w:ind w:firstLine="640"/>
        <w:jc w:val="left"/>
        <w:rPr>
          <w:rFonts w:ascii="宋体" w:hAnsi="宋体" w:cs="宋体"/>
          <w:color w:val="auto"/>
          <w:kern w:val="0"/>
          <w:szCs w:val="21"/>
          <w:highlight w:val="none"/>
        </w:rPr>
      </w:pPr>
      <w:r>
        <w:rPr>
          <w:rFonts w:hint="eastAsia" w:ascii="宋体" w:hAnsi="宋体" w:cs="宋体"/>
          <w:color w:val="auto"/>
          <w:kern w:val="0"/>
          <w:szCs w:val="21"/>
          <w:highlight w:val="none"/>
        </w:rPr>
        <w:t>发包人人员包括发包人代表及其他由发包人派驻施工现场的人员。</w:t>
      </w:r>
      <w:bookmarkEnd w:id="1551"/>
      <w:bookmarkEnd w:id="1552"/>
      <w:bookmarkEnd w:id="1553"/>
    </w:p>
    <w:p>
      <w:pPr>
        <w:pStyle w:val="6"/>
        <w:spacing w:before="120" w:after="120" w:line="360" w:lineRule="auto"/>
        <w:ind w:firstLine="422" w:firstLineChars="200"/>
        <w:rPr>
          <w:rFonts w:ascii="宋体" w:hAnsi="宋体" w:cs="宋体"/>
          <w:color w:val="auto"/>
          <w:sz w:val="21"/>
          <w:szCs w:val="21"/>
          <w:highlight w:val="none"/>
        </w:rPr>
      </w:pPr>
      <w:bookmarkStart w:id="1556" w:name="_Toc351203513"/>
      <w:r>
        <w:rPr>
          <w:rFonts w:hint="eastAsia" w:ascii="宋体" w:hAnsi="宋体" w:cs="宋体"/>
          <w:color w:val="auto"/>
          <w:sz w:val="21"/>
          <w:szCs w:val="21"/>
          <w:highlight w:val="none"/>
        </w:rPr>
        <w:t>2</w:t>
      </w:r>
      <w:bookmarkStart w:id="1557" w:name="_Toc296503040"/>
      <w:bookmarkStart w:id="1558" w:name="_Toc296346541"/>
      <w:bookmarkStart w:id="1559" w:name="_Toc337558741"/>
      <w:r>
        <w:rPr>
          <w:rFonts w:hint="eastAsia" w:ascii="宋体" w:hAnsi="宋体" w:cs="宋体"/>
          <w:color w:val="auto"/>
          <w:sz w:val="21"/>
          <w:szCs w:val="21"/>
          <w:highlight w:val="none"/>
        </w:rPr>
        <w:t>.4 施工现场、施工条件和基础资料的提供</w:t>
      </w:r>
      <w:bookmarkEnd w:id="1556"/>
      <w:bookmarkEnd w:id="1557"/>
      <w:bookmarkEnd w:id="1558"/>
      <w:bookmarkEnd w:id="1559"/>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2.4.1 提供施工现场</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w:t>
      </w:r>
      <w:bookmarkEnd w:id="1548"/>
      <w:bookmarkEnd w:id="1549"/>
      <w:r>
        <w:rPr>
          <w:rFonts w:hint="eastAsia" w:ascii="宋体" w:hAnsi="宋体" w:cs="宋体"/>
          <w:color w:val="auto"/>
          <w:kern w:val="0"/>
          <w:szCs w:val="21"/>
          <w:highlight w:val="none"/>
        </w:rPr>
        <w:t>专用合同条款另有约定外，发包人应最迟于开工日期7天前向承包人移交施工现场。</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2.4.2 提供施工条件</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除专用合同条款另有约定外，发包人应负责提供施工所需要的条件，包括：</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（1）将施工用水、电力、通讯线路等施工所必需的条件接至施工现场内；</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（2）保证向承包人提供正常施工所需要的进入施工现场的交通条件；</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（3）协调处理施工现场周围地下管线和邻近建筑物、构筑物、古树名木的保护工作，并承担相关费用；</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（4）按照专用合同条款约定应提供的其他设施和条件。</w:t>
      </w:r>
    </w:p>
    <w:p>
      <w:pPr>
        <w:autoSpaceDE w:val="0"/>
        <w:autoSpaceDN w:val="0"/>
        <w:adjustRightIn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2.4.3 提供基础资料</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按照法律规定确需在开工后方能提供的基础资料，发包人应尽其努力及时地在相应工程施工前的合理期限内提供，合理期限应以不影响承包人的正常施工为限。</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2.4.4 逾期提供的责任</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因发包人原因未能按合同约定及时向承包人提供施工现场、施工条件、基础资料的，由发包人承担由此增加的费用和（或）延误的工期。</w:t>
      </w:r>
    </w:p>
    <w:p>
      <w:pPr>
        <w:pStyle w:val="6"/>
        <w:spacing w:before="120" w:after="120" w:line="360" w:lineRule="auto"/>
        <w:ind w:firstLine="422" w:firstLineChars="200"/>
        <w:rPr>
          <w:rFonts w:ascii="宋体" w:hAnsi="宋体" w:cs="宋体"/>
          <w:color w:val="auto"/>
          <w:sz w:val="21"/>
          <w:szCs w:val="21"/>
          <w:highlight w:val="none"/>
        </w:rPr>
      </w:pPr>
      <w:bookmarkStart w:id="1560" w:name="_Toc351203514"/>
      <w:r>
        <w:rPr>
          <w:rFonts w:hint="eastAsia" w:ascii="宋体" w:hAnsi="宋体" w:cs="宋体"/>
          <w:color w:val="auto"/>
          <w:sz w:val="21"/>
          <w:szCs w:val="21"/>
          <w:highlight w:val="none"/>
        </w:rPr>
        <w:t>2</w:t>
      </w:r>
      <w:bookmarkStart w:id="1561" w:name="_Toc296503042"/>
      <w:bookmarkStart w:id="1562" w:name="_Toc337558745"/>
      <w:bookmarkStart w:id="1563" w:name="_Toc296346543"/>
      <w:r>
        <w:rPr>
          <w:rFonts w:hint="eastAsia" w:ascii="宋体" w:hAnsi="宋体" w:cs="宋体"/>
          <w:color w:val="auto"/>
          <w:sz w:val="21"/>
          <w:szCs w:val="21"/>
          <w:highlight w:val="none"/>
        </w:rPr>
        <w:t>.5 资</w:t>
      </w:r>
      <w:bookmarkEnd w:id="1561"/>
      <w:bookmarkEnd w:id="1562"/>
      <w:bookmarkEnd w:id="1563"/>
      <w:r>
        <w:rPr>
          <w:rFonts w:hint="eastAsia" w:ascii="宋体" w:hAnsi="宋体" w:cs="宋体"/>
          <w:color w:val="auto"/>
          <w:sz w:val="21"/>
          <w:szCs w:val="21"/>
          <w:highlight w:val="none"/>
        </w:rPr>
        <w:t>金来源证明及支付担保</w:t>
      </w:r>
      <w:bookmarkEnd w:id="1560"/>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除专用合同条款另有约定外，发包人应在收到承包人要求提供资金来源证明的书面通知后28天内，向承包人提供能够按照合同约定支付合同价款的相应资金来源证明。</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除专用合同条款另有约定外，发包人要求承包人提供履约担保的，发包人应当向承包人提供支付担保。支付担保可以采用银行保函或担保公司担保等形式，具体由合同当事人在专用合同条款中约定。</w:t>
      </w:r>
    </w:p>
    <w:p>
      <w:pPr>
        <w:pStyle w:val="6"/>
        <w:spacing w:before="120" w:after="120" w:line="360" w:lineRule="auto"/>
        <w:ind w:firstLine="422" w:firstLineChars="200"/>
        <w:rPr>
          <w:rFonts w:ascii="宋体" w:hAnsi="宋体" w:cs="宋体"/>
          <w:color w:val="auto"/>
          <w:sz w:val="21"/>
          <w:szCs w:val="21"/>
          <w:highlight w:val="none"/>
        </w:rPr>
      </w:pPr>
      <w:bookmarkStart w:id="1564" w:name="_Toc351203515"/>
      <w:r>
        <w:rPr>
          <w:rFonts w:hint="eastAsia" w:ascii="宋体" w:hAnsi="宋体" w:cs="宋体"/>
          <w:color w:val="auto"/>
          <w:sz w:val="21"/>
          <w:szCs w:val="21"/>
          <w:highlight w:val="none"/>
        </w:rPr>
        <w:t>2.6 支付合同价款</w:t>
      </w:r>
      <w:bookmarkEnd w:id="1564"/>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发包人应按合同约定向承包人及时支付合同价款。</w:t>
      </w:r>
    </w:p>
    <w:p>
      <w:pPr>
        <w:pStyle w:val="6"/>
        <w:spacing w:before="120" w:after="120" w:line="360" w:lineRule="auto"/>
        <w:ind w:firstLine="422" w:firstLineChars="200"/>
        <w:rPr>
          <w:rFonts w:ascii="宋体" w:hAnsi="宋体" w:cs="宋体"/>
          <w:color w:val="auto"/>
          <w:sz w:val="21"/>
          <w:szCs w:val="21"/>
          <w:highlight w:val="none"/>
        </w:rPr>
      </w:pPr>
      <w:bookmarkStart w:id="1565" w:name="_Toc351203516"/>
      <w:r>
        <w:rPr>
          <w:rFonts w:hint="eastAsia" w:ascii="宋体" w:hAnsi="宋体" w:cs="宋体"/>
          <w:color w:val="auto"/>
          <w:sz w:val="21"/>
          <w:szCs w:val="21"/>
          <w:highlight w:val="none"/>
        </w:rPr>
        <w:t>2.7 组织竣工验收</w:t>
      </w:r>
      <w:bookmarkEnd w:id="1565"/>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发包人应按合同约定及时组织竣工验收。</w:t>
      </w:r>
    </w:p>
    <w:p>
      <w:pPr>
        <w:pStyle w:val="6"/>
        <w:spacing w:before="120" w:after="120" w:line="360" w:lineRule="auto"/>
        <w:ind w:firstLine="422" w:firstLineChars="200"/>
        <w:rPr>
          <w:rFonts w:ascii="宋体" w:hAnsi="宋体" w:cs="宋体"/>
          <w:color w:val="auto"/>
          <w:sz w:val="21"/>
          <w:szCs w:val="21"/>
          <w:highlight w:val="none"/>
        </w:rPr>
      </w:pPr>
      <w:bookmarkStart w:id="1566" w:name="_Toc351203517"/>
      <w:r>
        <w:rPr>
          <w:rFonts w:hint="eastAsia" w:ascii="宋体" w:hAnsi="宋体" w:cs="宋体"/>
          <w:color w:val="auto"/>
          <w:sz w:val="21"/>
          <w:szCs w:val="21"/>
          <w:highlight w:val="none"/>
        </w:rPr>
        <w:t>2.8 现场统一管理协议</w:t>
      </w:r>
      <w:bookmarkEnd w:id="1566"/>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发包人应与承包人、由发包人直接发包的专业工程的承包人签订施工现场统一管理协议，明确各方的权利义务。施工现场统一管理协议作为专用合同条款的附件。</w:t>
      </w:r>
    </w:p>
    <w:p>
      <w:pPr>
        <w:pStyle w:val="5"/>
        <w:spacing w:before="120" w:after="120" w:line="360" w:lineRule="auto"/>
        <w:outlineLvl w:val="3"/>
        <w:rPr>
          <w:rFonts w:hint="eastAsia" w:ascii="宋体" w:hAnsi="宋体" w:eastAsia="宋体" w:cs="宋体"/>
          <w:color w:val="auto"/>
          <w:sz w:val="24"/>
          <w:szCs w:val="24"/>
          <w:highlight w:val="none"/>
        </w:rPr>
      </w:pPr>
      <w:bookmarkStart w:id="1567" w:name="_Toc351203518"/>
      <w:r>
        <w:rPr>
          <w:rFonts w:hint="eastAsia" w:ascii="宋体" w:hAnsi="宋体" w:eastAsia="宋体" w:cs="宋体"/>
          <w:color w:val="auto"/>
          <w:sz w:val="24"/>
          <w:szCs w:val="24"/>
          <w:highlight w:val="none"/>
        </w:rPr>
        <w:t>3</w:t>
      </w:r>
      <w:bookmarkStart w:id="1568" w:name="_Toc337558746"/>
      <w:bookmarkStart w:id="1569" w:name="_Toc296346546"/>
      <w:bookmarkStart w:id="1570" w:name="_Toc296503045"/>
      <w:r>
        <w:rPr>
          <w:rFonts w:hint="eastAsia" w:ascii="宋体" w:hAnsi="宋体" w:eastAsia="宋体" w:cs="宋体"/>
          <w:color w:val="auto"/>
          <w:sz w:val="24"/>
          <w:szCs w:val="24"/>
          <w:highlight w:val="none"/>
        </w:rPr>
        <w:t>. 承包人</w:t>
      </w:r>
      <w:bookmarkEnd w:id="1567"/>
    </w:p>
    <w:bookmarkEnd w:id="1568"/>
    <w:bookmarkEnd w:id="1569"/>
    <w:bookmarkEnd w:id="1570"/>
    <w:p>
      <w:pPr>
        <w:pStyle w:val="6"/>
        <w:spacing w:before="120" w:after="120" w:line="360" w:lineRule="auto"/>
        <w:ind w:firstLine="422" w:firstLineChars="200"/>
        <w:rPr>
          <w:rFonts w:ascii="宋体" w:hAnsi="宋体" w:cs="宋体"/>
          <w:color w:val="auto"/>
          <w:sz w:val="21"/>
          <w:szCs w:val="21"/>
          <w:highlight w:val="none"/>
        </w:rPr>
      </w:pPr>
      <w:bookmarkStart w:id="1571" w:name="_Toc351203519"/>
      <w:r>
        <w:rPr>
          <w:rFonts w:hint="eastAsia" w:ascii="宋体" w:hAnsi="宋体" w:cs="宋体"/>
          <w:color w:val="auto"/>
          <w:sz w:val="21"/>
          <w:szCs w:val="21"/>
          <w:highlight w:val="none"/>
        </w:rPr>
        <w:t>3</w:t>
      </w:r>
      <w:bookmarkStart w:id="1572" w:name="_Toc296346547"/>
      <w:bookmarkStart w:id="1573" w:name="_Toc337558747"/>
      <w:bookmarkStart w:id="1574" w:name="_Toc296503046"/>
      <w:r>
        <w:rPr>
          <w:rFonts w:hint="eastAsia" w:ascii="宋体" w:hAnsi="宋体" w:cs="宋体"/>
          <w:color w:val="auto"/>
          <w:sz w:val="21"/>
          <w:szCs w:val="21"/>
          <w:highlight w:val="none"/>
        </w:rPr>
        <w:t>.1 承包人的一般义务</w:t>
      </w:r>
      <w:bookmarkEnd w:id="1571"/>
    </w:p>
    <w:bookmarkEnd w:id="1572"/>
    <w:bookmarkEnd w:id="1573"/>
    <w:bookmarkEnd w:id="1574"/>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承包人在履行合同过程中应遵守法律和工程建设标准规范，并履行以下义务：</w:t>
      </w:r>
    </w:p>
    <w:p>
      <w:pPr>
        <w:numPr>
          <w:ilvl w:val="0"/>
          <w:numId w:val="4"/>
        </w:num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办理法律规定应由承包人办理的许可和批准，并将办理结果书面报送发包人留存；</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（2）按法律规定和合同约定完成工程，并在保修期内承担保修义务；</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（3）按法律规定和合同约定采取施工安全和环境保护措施，办理工伤保险，确保工程及人员、材料、设备和设施的安全；</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（4）按合同约定的工作内容和施工进度要求，编制施工组织设计和施工措施计划，并对所有施工作业和施工方法的完备性和安全可靠性负责；</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（6）按照第6.3款〔环境保护〕约定负责施工场地及其周边环境与生态的保护工作；</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（7）按第6.1款〔安全文明施工〕约定采取施工安全措施，确保工程及其人员、材料、设备和设施的安全，防止因工程施工造成的人身伤害和财产损失；</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（8）将发包人按合同约定支付的各项价款专用于合同工程，且应及时支付其雇用人员工资，并及时向分包人支付合同价款；</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（9）按照法律规定和合同约定编制竣工资料，完成竣工资料立卷及归档，并按专用合同条款约定的竣工资料的套数、内容、时间等要求移交发包人；</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（10）应履行的其他义务。</w:t>
      </w:r>
    </w:p>
    <w:p>
      <w:pPr>
        <w:pStyle w:val="6"/>
        <w:spacing w:before="120" w:after="120" w:line="360" w:lineRule="auto"/>
        <w:ind w:firstLine="422" w:firstLineChars="200"/>
        <w:rPr>
          <w:rFonts w:ascii="宋体" w:hAnsi="宋体" w:cs="宋体"/>
          <w:color w:val="auto"/>
          <w:sz w:val="21"/>
          <w:szCs w:val="21"/>
          <w:highlight w:val="none"/>
        </w:rPr>
      </w:pPr>
      <w:bookmarkStart w:id="1575" w:name="_Toc351203520"/>
      <w:r>
        <w:rPr>
          <w:rFonts w:hint="eastAsia" w:ascii="宋体" w:hAnsi="宋体" w:cs="宋体"/>
          <w:color w:val="auto"/>
          <w:sz w:val="21"/>
          <w:szCs w:val="21"/>
          <w:highlight w:val="none"/>
        </w:rPr>
        <w:t>3</w:t>
      </w:r>
      <w:bookmarkStart w:id="1576" w:name="_Toc337558748"/>
      <w:bookmarkStart w:id="1577" w:name="_Toc296503047"/>
      <w:bookmarkStart w:id="1578" w:name="_Toc296346548"/>
      <w:r>
        <w:rPr>
          <w:rFonts w:hint="eastAsia" w:ascii="宋体" w:hAnsi="宋体" w:cs="宋体"/>
          <w:color w:val="auto"/>
          <w:sz w:val="21"/>
          <w:szCs w:val="21"/>
          <w:highlight w:val="none"/>
        </w:rPr>
        <w:t xml:space="preserve">.2 </w:t>
      </w:r>
      <w:bookmarkEnd w:id="1575"/>
      <w:r>
        <w:rPr>
          <w:rFonts w:hint="eastAsia" w:ascii="宋体" w:hAnsi="宋体" w:cs="宋体"/>
          <w:color w:val="auto"/>
          <w:sz w:val="21"/>
          <w:szCs w:val="21"/>
          <w:highlight w:val="none"/>
        </w:rPr>
        <w:t>项目负责人</w:t>
      </w:r>
    </w:p>
    <w:bookmarkEnd w:id="1576"/>
    <w:bookmarkEnd w:id="1577"/>
    <w:bookmarkEnd w:id="1578"/>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3.2.1 项目负责人应为投标文件所确认的人选，并在专用合同条款中明确项目负责人的姓名、职称、注册执业证书编号、联系方式及授权范围等事项，项目负责人经承包人授权后代表承包人负责履行合同。项目负责人应是承包人正式聘用的员工，承包人应向发包人提交项目负责人与承包人之间的劳动合同，以及承包人为项目负责人缴纳社会保险的有效证明。承包人不提交上述文件的，项目负责人无权履行职责，发包人有权要求更换项目负责人，由此增加的费用和（或）延误的工期由承包人承担。</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应常驻施工现场，且每月在施工现场时间不得少于专用合同条款约定的天数。项目负责人不得同时担任其他项目的项目负责人。项目负责人确需离开施工现场时，应取得监理人和发包人的书面同意。项目负责人的通知中应当载明临时代行其职责的人员的注册执业资格、管理经验等资料，该人员应具备履行相应职责的能力。</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承包人违反上述约定的，应按照专用合同条款的约定，承担违约责任。</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3.2.2 项目负责人按合同约定组织工程实施。在紧急情况下为确保施工安全和人员安全，在无法与发包人代表和总监理工程师及时取得联系时，项目负责人有权采取必要的措施保证与工程有关的人身、财产和工程的安全，但应在48小时内向发包人代表和总监理工程师提交书面报告。</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3.2.3 承包人需要更换项目负责人的，应提前14天书面通知发包人和监理人，并征得发包人书面同意。通知中应当载明继任项目负责人的注册执业资格、管理经验等资料，继任项目负责人继续履行第3.2.1项约定的职责。未经发包人书面同意，承包人不得擅自更换项目负责人。承包人擅自更换项目负责人的，应按照专用合同条款的约定承担违约责任。</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3.2.4 发包人有权书面通知承包人更换其认为不称职的项目负责人，通知中应当载明要求更换的理由。承包人应在接到更换通知后14天内向发包人提出书面的改进报告。发包人收到改进报告后仍要求更换的，承包人应在接到第二次更换通知的28天内进行更换，并将新任命的项目负责人的注册执业资格、管理经验等资料书面通知发包人。继任项目负责人继续履行第3.2.1项约定的职责。承包人无正当理由拒绝更换项目负责人的，应按照专用合同条款的约定承担违约责任。</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3.2.5 项目负责人因特殊情况授权其下属人员履行其某项工作职责的，该下属人员应具备履行相应职责的能力，并应提前7天将上述人员的姓名和授权范围书面通知监理人，并征得发包人书面同意。</w:t>
      </w:r>
    </w:p>
    <w:p>
      <w:pPr>
        <w:pStyle w:val="6"/>
        <w:spacing w:before="120" w:after="120" w:line="360" w:lineRule="auto"/>
        <w:ind w:firstLine="422" w:firstLineChars="200"/>
        <w:rPr>
          <w:rFonts w:ascii="宋体" w:hAnsi="宋体" w:cs="宋体"/>
          <w:color w:val="auto"/>
          <w:sz w:val="21"/>
          <w:szCs w:val="21"/>
          <w:highlight w:val="none"/>
        </w:rPr>
      </w:pPr>
      <w:bookmarkStart w:id="1579" w:name="_Toc351203521"/>
      <w:r>
        <w:rPr>
          <w:rFonts w:hint="eastAsia" w:ascii="宋体" w:hAnsi="宋体" w:cs="宋体"/>
          <w:color w:val="auto"/>
          <w:sz w:val="21"/>
          <w:szCs w:val="21"/>
          <w:highlight w:val="none"/>
        </w:rPr>
        <w:t>3</w:t>
      </w:r>
      <w:bookmarkStart w:id="1580" w:name="_Toc296346549"/>
      <w:bookmarkStart w:id="1581" w:name="_Toc296503048"/>
      <w:bookmarkStart w:id="1582" w:name="_Toc337558749"/>
      <w:r>
        <w:rPr>
          <w:rFonts w:hint="eastAsia" w:ascii="宋体" w:hAnsi="宋体" w:cs="宋体"/>
          <w:color w:val="auto"/>
          <w:sz w:val="21"/>
          <w:szCs w:val="21"/>
          <w:highlight w:val="none"/>
        </w:rPr>
        <w:t xml:space="preserve">.3 </w:t>
      </w:r>
      <w:bookmarkEnd w:id="1580"/>
      <w:bookmarkEnd w:id="1581"/>
      <w:r>
        <w:rPr>
          <w:rFonts w:hint="eastAsia" w:ascii="宋体" w:hAnsi="宋体" w:cs="宋体"/>
          <w:color w:val="auto"/>
          <w:sz w:val="21"/>
          <w:szCs w:val="21"/>
          <w:highlight w:val="none"/>
        </w:rPr>
        <w:t>承包人人员</w:t>
      </w:r>
      <w:bookmarkEnd w:id="1579"/>
    </w:p>
    <w:bookmarkEnd w:id="1582"/>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3.3.1 除专用合同条款另有约定外，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其他主要施工管理人员与承包人之间的劳动关系证明和缴纳社会保险的有效证明。</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3.3.2 承包人其他主要管理人员应为投标文件所确认的人选，合同期内应相对稳定。施工过程中如有变动，承包人应及时向监理人提交施工现场人员变动情况的报告。承包人更换其他主要施工管理人员时，应提前7天书面通知监理人，并征得发包人书面同意。通知中应当载明继任人员的注册执业资格、管理经验等资料。</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特殊工种作业人员均应持有相应的资格证明，监理人可以随时检查。</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3.3.3 发包人对于承包人主要施工管理人员的资格或能力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3.3.4 除专用合同条款另有约定外，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3.3.5 承包人擅自更换主要施工管理人员，或前述人员未经监理人或发包人同意擅自离开施工现场的，应按照专用合同条款约定承担违约责任。</w:t>
      </w:r>
    </w:p>
    <w:p>
      <w:pPr>
        <w:pStyle w:val="6"/>
        <w:spacing w:before="120" w:after="120" w:line="360" w:lineRule="auto"/>
        <w:ind w:firstLine="422" w:firstLineChars="200"/>
        <w:rPr>
          <w:rFonts w:ascii="宋体" w:hAnsi="宋体" w:cs="宋体"/>
          <w:color w:val="auto"/>
          <w:sz w:val="21"/>
          <w:szCs w:val="21"/>
          <w:highlight w:val="none"/>
        </w:rPr>
      </w:pPr>
      <w:bookmarkStart w:id="1583" w:name="_Toc351203522"/>
      <w:r>
        <w:rPr>
          <w:rFonts w:hint="eastAsia" w:ascii="宋体" w:hAnsi="宋体" w:cs="宋体"/>
          <w:color w:val="auto"/>
          <w:sz w:val="21"/>
          <w:szCs w:val="21"/>
          <w:highlight w:val="none"/>
        </w:rPr>
        <w:t>3</w:t>
      </w:r>
      <w:bookmarkStart w:id="1584" w:name="_Toc296346551"/>
      <w:bookmarkStart w:id="1585" w:name="_Toc337558750"/>
      <w:bookmarkStart w:id="1586" w:name="_Toc296503050"/>
      <w:r>
        <w:rPr>
          <w:rFonts w:hint="eastAsia" w:ascii="宋体" w:hAnsi="宋体" w:cs="宋体"/>
          <w:color w:val="auto"/>
          <w:sz w:val="21"/>
          <w:szCs w:val="21"/>
          <w:highlight w:val="none"/>
        </w:rPr>
        <w:t>.4 承包人现场查勘</w:t>
      </w:r>
      <w:bookmarkEnd w:id="1583"/>
    </w:p>
    <w:bookmarkEnd w:id="1584"/>
    <w:bookmarkEnd w:id="1585"/>
    <w:bookmarkEnd w:id="1586"/>
    <w:p>
      <w:pPr>
        <w:autoSpaceDE w:val="0"/>
        <w:autoSpaceDN w:val="0"/>
        <w:adjustRightIn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承包人应对基于发包人按照第2.4.3项〔提供基础资料〕提交的基础资料所做出的解释和推断负责，但因基础资料存在错误、遗漏导致承包人解释或推断失实的，由发包人承担责任。</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pPr>
        <w:pStyle w:val="6"/>
        <w:spacing w:before="120" w:after="120" w:line="360" w:lineRule="auto"/>
        <w:ind w:firstLine="422" w:firstLineChars="200"/>
        <w:rPr>
          <w:rFonts w:ascii="宋体" w:hAnsi="宋体" w:cs="宋体"/>
          <w:color w:val="auto"/>
          <w:sz w:val="21"/>
          <w:szCs w:val="21"/>
          <w:highlight w:val="none"/>
        </w:rPr>
      </w:pPr>
      <w:bookmarkStart w:id="1587" w:name="_Toc351203523"/>
      <w:r>
        <w:rPr>
          <w:rFonts w:hint="eastAsia" w:ascii="宋体" w:hAnsi="宋体" w:cs="宋体"/>
          <w:color w:val="auto"/>
          <w:sz w:val="21"/>
          <w:szCs w:val="21"/>
          <w:highlight w:val="none"/>
        </w:rPr>
        <w:t>3</w:t>
      </w:r>
      <w:bookmarkStart w:id="1588" w:name="_Toc296346552"/>
      <w:bookmarkStart w:id="1589" w:name="_Toc337558751"/>
      <w:bookmarkStart w:id="1590" w:name="_Toc296503051"/>
      <w:r>
        <w:rPr>
          <w:rFonts w:hint="eastAsia" w:ascii="宋体" w:hAnsi="宋体" w:cs="宋体"/>
          <w:color w:val="auto"/>
          <w:sz w:val="21"/>
          <w:szCs w:val="21"/>
          <w:highlight w:val="none"/>
        </w:rPr>
        <w:t>.5 分包</w:t>
      </w:r>
      <w:bookmarkEnd w:id="1587"/>
    </w:p>
    <w:bookmarkEnd w:id="1588"/>
    <w:bookmarkEnd w:id="1589"/>
    <w:bookmarkEnd w:id="1590"/>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3.5.1 分包的一般约定</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承包人不得以劳务分包的名义转包或违法分包工程。</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3.5.2 分包的确定</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专用合同条款的约定进行分包，确定分包人。已标价工程量清单或预算书中给定暂估价的专业工程，按照第10.7款〔暂估价〕确定分包人。按照合同约定进行分包的，承包人应确保分包人具有相应的资质和能力。工程分包不减轻或免除承包人的责任和义务，承包人和分包人就分包工程向发包人承担连带责任。除合同另有约定外，承包人应在分包合同签订后7天内向发包人和监理人提交分包合同副本。</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3.5.3 分包管理</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承包人应向监理人提交分包人的主要施工管理人员表，并对分包人的施工人员进行实名制管理，包括但不限于进出场管理、登记造册以及各种证照的办理。</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3.5.4 分包合同价款</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（1）除本项第（2）目约定的情况或专用合同条款另有约定外，分包合同价款由承包人与分包人结算，未经承包人同意，发包人不得向分包人支付分包工程价款；</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（2）生效法律文书要求发包人向分包人支付分包合同价款的，发包人有权从应付承包人工程款中扣除该部分款项。</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3.5.5 分包合同权益的转让</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bookmarkStart w:id="1591" w:name="_Toc351203524"/>
    </w:p>
    <w:p>
      <w:pPr>
        <w:pStyle w:val="6"/>
        <w:spacing w:before="120" w:after="120" w:line="360" w:lineRule="auto"/>
        <w:ind w:firstLine="422" w:firstLineChars="200"/>
        <w:rPr>
          <w:rFonts w:ascii="宋体" w:hAnsi="宋体" w:cs="宋体"/>
          <w:color w:val="auto"/>
          <w:sz w:val="21"/>
          <w:szCs w:val="21"/>
          <w:highlight w:val="none"/>
        </w:rPr>
      </w:pPr>
      <w:r>
        <w:rPr>
          <w:rFonts w:hint="eastAsia" w:ascii="宋体" w:hAnsi="宋体" w:cs="宋体"/>
          <w:color w:val="auto"/>
          <w:sz w:val="21"/>
          <w:szCs w:val="21"/>
          <w:highlight w:val="none"/>
        </w:rPr>
        <w:t>3.6 工程照管与成品、半成品保护</w:t>
      </w:r>
      <w:bookmarkEnd w:id="1591"/>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（1）除专用合同条款另有约定外，自发包人向承包人移交施工现场之日起，承包人应负责照管工程及工程相关的材料、工程设备，直到颁发工程接收证书之日止。</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（2）在承包人负责照管期间，因承包人原因造成工程、材料、工程设备损坏的，由承包人负责修复或更换，并承担由此增加的费用和（或）延误的工期。</w:t>
      </w:r>
    </w:p>
    <w:p>
      <w:pPr>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（3）对合同内分期完成的成品和半成品，在工程接收证书颁发前，由承包人承担保护责任。因承包人原因造成成品或半成品损坏的，由承包人负责修复或更换，并承担由此增加的费用和（或）延误的工期。</w:t>
      </w:r>
    </w:p>
    <w:p>
      <w:pPr>
        <w:pStyle w:val="6"/>
        <w:spacing w:before="120" w:after="120" w:line="360" w:lineRule="auto"/>
        <w:ind w:firstLine="422" w:firstLineChars="200"/>
        <w:rPr>
          <w:rFonts w:ascii="宋体" w:hAnsi="宋体" w:cs="宋体"/>
          <w:color w:val="auto"/>
          <w:sz w:val="21"/>
          <w:szCs w:val="21"/>
          <w:highlight w:val="none"/>
        </w:rPr>
      </w:pPr>
      <w:bookmarkStart w:id="1592" w:name="_Toc351203525"/>
      <w:r>
        <w:rPr>
          <w:rFonts w:hint="eastAsia" w:ascii="宋体" w:hAnsi="宋体" w:cs="宋体"/>
          <w:color w:val="auto"/>
          <w:sz w:val="21"/>
          <w:szCs w:val="21"/>
          <w:highlight w:val="none"/>
        </w:rPr>
        <w:t>3</w:t>
      </w:r>
      <w:bookmarkStart w:id="1593" w:name="_Toc296503052"/>
      <w:bookmarkStart w:id="1594" w:name="_Toc337558752"/>
      <w:bookmarkStart w:id="1595" w:name="_Toc296346553"/>
      <w:r>
        <w:rPr>
          <w:rFonts w:hint="eastAsia" w:ascii="宋体" w:hAnsi="宋体" w:cs="宋体"/>
          <w:color w:val="auto"/>
          <w:sz w:val="21"/>
          <w:szCs w:val="21"/>
          <w:highlight w:val="none"/>
        </w:rPr>
        <w:t>.7 履约担保</w:t>
      </w:r>
      <w:bookmarkEnd w:id="1592"/>
    </w:p>
    <w:bookmarkEnd w:id="1593"/>
    <w:bookmarkEnd w:id="1594"/>
    <w:bookmarkEnd w:id="1595"/>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发包人需要承包人提供履约担保的，由合同当事人在专用合同条款中约定履约担保的方式、金额及期限等。履约担保可以采用银行保函或担保公司担保等形式，具体由合同当事人在专用合同条款中约定。</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因承包人原因导致工期延长的，继续提供履约担保所增加的费用由承包人承担；非因承包人原因导致工期延长的，继续提供履约担保所增加的费用由发包人承担。</w:t>
      </w:r>
    </w:p>
    <w:p>
      <w:pPr>
        <w:pStyle w:val="6"/>
        <w:spacing w:before="120" w:after="120" w:line="360" w:lineRule="auto"/>
        <w:ind w:firstLine="422" w:firstLineChars="200"/>
        <w:rPr>
          <w:rFonts w:ascii="宋体" w:hAnsi="宋体" w:cs="宋体"/>
          <w:color w:val="auto"/>
          <w:sz w:val="21"/>
          <w:szCs w:val="21"/>
          <w:highlight w:val="none"/>
        </w:rPr>
      </w:pPr>
      <w:bookmarkStart w:id="1596" w:name="_Toc351203526"/>
      <w:r>
        <w:rPr>
          <w:rFonts w:hint="eastAsia" w:ascii="宋体" w:hAnsi="宋体" w:cs="宋体"/>
          <w:color w:val="auto"/>
          <w:sz w:val="21"/>
          <w:szCs w:val="21"/>
          <w:highlight w:val="none"/>
        </w:rPr>
        <w:t>3.8 联合体</w:t>
      </w:r>
      <w:bookmarkEnd w:id="1596"/>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3.8.1 联合体各方应共同与发包人签订合同协议书。联合体各方应为履行合同向发包人承担连带责任。</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3.8.2 联合体协议经发包人确认后作为合同附件。在履行合同过程中，未经发包人同意，不得修改联合体协议。</w:t>
      </w:r>
    </w:p>
    <w:p>
      <w:pPr>
        <w:autoSpaceDE w:val="0"/>
        <w:autoSpaceDN w:val="0"/>
        <w:adjustRightIn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3.8.3 联合体牵头人负责与发包人和监理人联系，并接受指示，负责组织联合体各成员全面履行合同。</w:t>
      </w:r>
    </w:p>
    <w:p>
      <w:pPr>
        <w:pStyle w:val="5"/>
        <w:spacing w:before="120" w:after="120" w:line="360" w:lineRule="auto"/>
        <w:outlineLvl w:val="3"/>
        <w:rPr>
          <w:rFonts w:hint="eastAsia" w:ascii="宋体" w:hAnsi="宋体" w:eastAsia="宋体" w:cs="宋体"/>
          <w:color w:val="auto"/>
          <w:sz w:val="24"/>
          <w:szCs w:val="24"/>
          <w:highlight w:val="none"/>
        </w:rPr>
      </w:pPr>
      <w:bookmarkStart w:id="1597" w:name="_Toc351203527"/>
      <w:r>
        <w:rPr>
          <w:rFonts w:hint="eastAsia" w:ascii="宋体" w:hAnsi="宋体" w:eastAsia="宋体" w:cs="宋体"/>
          <w:color w:val="auto"/>
          <w:sz w:val="24"/>
          <w:szCs w:val="24"/>
          <w:highlight w:val="none"/>
        </w:rPr>
        <w:t>4</w:t>
      </w:r>
      <w:bookmarkStart w:id="1598" w:name="_Toc296346554"/>
      <w:bookmarkStart w:id="1599" w:name="_Toc296503053"/>
      <w:bookmarkStart w:id="1600" w:name="_Toc337558753"/>
      <w:r>
        <w:rPr>
          <w:rFonts w:hint="eastAsia" w:ascii="宋体" w:hAnsi="宋体" w:eastAsia="宋体" w:cs="宋体"/>
          <w:color w:val="auto"/>
          <w:sz w:val="24"/>
          <w:szCs w:val="24"/>
          <w:highlight w:val="none"/>
        </w:rPr>
        <w:t>. 监</w:t>
      </w:r>
      <w:bookmarkEnd w:id="1598"/>
      <w:bookmarkEnd w:id="1599"/>
      <w:r>
        <w:rPr>
          <w:rFonts w:hint="eastAsia" w:ascii="宋体" w:hAnsi="宋体" w:eastAsia="宋体" w:cs="宋体"/>
          <w:color w:val="auto"/>
          <w:sz w:val="24"/>
          <w:szCs w:val="24"/>
          <w:highlight w:val="none"/>
        </w:rPr>
        <w:t>理人</w:t>
      </w:r>
      <w:bookmarkEnd w:id="1597"/>
    </w:p>
    <w:bookmarkEnd w:id="1600"/>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01" w:name="_Toc351203528"/>
      <w:r>
        <w:rPr>
          <w:rFonts w:hint="eastAsia" w:ascii="宋体" w:hAnsi="宋体" w:cs="宋体"/>
          <w:b/>
          <w:bCs/>
          <w:color w:val="auto"/>
          <w:sz w:val="21"/>
          <w:szCs w:val="21"/>
          <w:highlight w:val="none"/>
          <w:lang w:val="en-US" w:eastAsia="zh-CN"/>
        </w:rPr>
        <w:t>4</w:t>
      </w:r>
      <w:bookmarkStart w:id="1602" w:name="_Toc296346555"/>
      <w:bookmarkStart w:id="1603" w:name="_Toc337558754"/>
      <w:bookmarkStart w:id="1604" w:name="_Toc296503054"/>
      <w:r>
        <w:rPr>
          <w:rFonts w:hint="eastAsia" w:ascii="宋体" w:hAnsi="宋体" w:cs="宋体"/>
          <w:b/>
          <w:bCs/>
          <w:color w:val="auto"/>
          <w:sz w:val="21"/>
          <w:szCs w:val="21"/>
          <w:highlight w:val="none"/>
          <w:lang w:val="en-US" w:eastAsia="zh-CN"/>
        </w:rPr>
        <w:t>.1监理人的一般规定</w:t>
      </w:r>
      <w:bookmarkEnd w:id="1601"/>
    </w:p>
    <w:bookmarkEnd w:id="1602"/>
    <w:bookmarkEnd w:id="1603"/>
    <w:bookmarkEnd w:id="1604"/>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除专用合同条款另有约定外，监理人在施工现场的办公场所、生活场所由承包人提供，所发生的费用由发包人承担。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05" w:name="_Toc351203529"/>
      <w:r>
        <w:rPr>
          <w:rFonts w:hint="eastAsia" w:ascii="宋体" w:hAnsi="宋体" w:cs="宋体"/>
          <w:b/>
          <w:bCs/>
          <w:color w:val="auto"/>
          <w:sz w:val="21"/>
          <w:szCs w:val="21"/>
          <w:highlight w:val="none"/>
          <w:lang w:val="en-US" w:eastAsia="zh-CN"/>
        </w:rPr>
        <w:t>4</w:t>
      </w:r>
      <w:bookmarkStart w:id="1606" w:name="_Toc337558755"/>
      <w:r>
        <w:rPr>
          <w:rFonts w:hint="eastAsia" w:ascii="宋体" w:hAnsi="宋体" w:cs="宋体"/>
          <w:b/>
          <w:bCs/>
          <w:color w:val="auto"/>
          <w:sz w:val="21"/>
          <w:szCs w:val="21"/>
          <w:highlight w:val="none"/>
          <w:lang w:val="en-US" w:eastAsia="zh-CN"/>
        </w:rPr>
        <w:t>.2监理人员</w:t>
      </w:r>
      <w:bookmarkEnd w:id="1605"/>
    </w:p>
    <w:bookmarkEnd w:id="1606"/>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7天书面通知承包人；更换其他监理人员，监理人应提前48小时书面通知承包人。</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07" w:name="_Toc351203530"/>
      <w:r>
        <w:rPr>
          <w:rFonts w:hint="eastAsia" w:ascii="宋体" w:hAnsi="宋体" w:cs="宋体"/>
          <w:b/>
          <w:bCs/>
          <w:color w:val="auto"/>
          <w:sz w:val="21"/>
          <w:szCs w:val="21"/>
          <w:highlight w:val="none"/>
          <w:lang w:val="en-US" w:eastAsia="zh-CN"/>
        </w:rPr>
        <w:t>4</w:t>
      </w:r>
      <w:bookmarkStart w:id="1608" w:name="_Toc296346556"/>
      <w:bookmarkStart w:id="1609" w:name="_Toc296503055"/>
      <w:bookmarkStart w:id="1610" w:name="_Toc337558756"/>
      <w:r>
        <w:rPr>
          <w:rFonts w:hint="eastAsia" w:ascii="宋体" w:hAnsi="宋体" w:cs="宋体"/>
          <w:b/>
          <w:bCs/>
          <w:color w:val="auto"/>
          <w:sz w:val="21"/>
          <w:szCs w:val="21"/>
          <w:highlight w:val="none"/>
          <w:lang w:val="en-US" w:eastAsia="zh-CN"/>
        </w:rPr>
        <w:t>.3</w:t>
      </w:r>
      <w:bookmarkEnd w:id="1608"/>
      <w:bookmarkEnd w:id="1609"/>
      <w:r>
        <w:rPr>
          <w:rFonts w:hint="eastAsia" w:ascii="宋体" w:hAnsi="宋体" w:cs="宋体"/>
          <w:b/>
          <w:bCs/>
          <w:color w:val="auto"/>
          <w:sz w:val="21"/>
          <w:szCs w:val="21"/>
          <w:highlight w:val="none"/>
          <w:lang w:val="en-US" w:eastAsia="zh-CN"/>
        </w:rPr>
        <w:t>监理人的指</w:t>
      </w:r>
      <w:bookmarkEnd w:id="1610"/>
      <w:r>
        <w:rPr>
          <w:rFonts w:hint="eastAsia" w:ascii="宋体" w:hAnsi="宋体" w:cs="宋体"/>
          <w:b/>
          <w:bCs/>
          <w:color w:val="auto"/>
          <w:sz w:val="21"/>
          <w:szCs w:val="21"/>
          <w:highlight w:val="none"/>
          <w:lang w:val="en-US" w:eastAsia="zh-CN"/>
        </w:rPr>
        <w:t>示</w:t>
      </w:r>
      <w:bookmarkEnd w:id="1607"/>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指示后24小时内补发书面监理指示，补发的书面监理指示应与口头指示一致。</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发出的指示应送达承包人项目负责人或经项目负责人授权接收的人员。因监理人未能按合同约定发出指示、指示延误或发出了错误指示而导致承包人费用增加和（或）工期延误的，由发包人承担相应责任。除专用合同条款另有约定外，总监理工程师不应将第4.4款〔商定或确定〕约定应由总监理工程师作出确定的权力授权或委托给其他监理人员。</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承包人对监理人发出的指示有疑问的，应向监理人提出书面异议，监理人应在48小时内对该指示予以确认、更改或撤销，监理人逾期未回复的，承包人有权拒绝执行上述指示。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监理人对承包人的任何工作、工程或其采用的材料和工程设备未在约定的或合理期限内提出意见的，视为批准，但不免除或减轻承包人对该工作、工程、材料、工程设备等应承担的责任和义务。</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11" w:name="_Toc351203531"/>
      <w:r>
        <w:rPr>
          <w:rFonts w:hint="eastAsia" w:ascii="宋体" w:hAnsi="宋体" w:cs="宋体"/>
          <w:b/>
          <w:bCs/>
          <w:color w:val="auto"/>
          <w:sz w:val="21"/>
          <w:szCs w:val="21"/>
          <w:highlight w:val="none"/>
          <w:lang w:val="en-US" w:eastAsia="zh-CN"/>
        </w:rPr>
        <w:t>4</w:t>
      </w:r>
      <w:bookmarkStart w:id="1612" w:name="_Toc337558757"/>
      <w:bookmarkStart w:id="1613" w:name="_Toc296503057"/>
      <w:bookmarkStart w:id="1614" w:name="_Toc296346558"/>
      <w:r>
        <w:rPr>
          <w:rFonts w:hint="eastAsia" w:ascii="宋体" w:hAnsi="宋体" w:cs="宋体"/>
          <w:b/>
          <w:bCs/>
          <w:color w:val="auto"/>
          <w:sz w:val="21"/>
          <w:szCs w:val="21"/>
          <w:highlight w:val="none"/>
          <w:lang w:val="en-US" w:eastAsia="zh-CN"/>
        </w:rPr>
        <w:t>.4 商定或确定</w:t>
      </w:r>
      <w:bookmarkEnd w:id="1611"/>
    </w:p>
    <w:bookmarkEnd w:id="1612"/>
    <w:bookmarkEnd w:id="1613"/>
    <w:bookmarkEnd w:id="1614"/>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合同当事人进行商定或确定时，总监理工程师应当会同合同当事人尽量通过协商达成一致，不能达成一致的，由总监理工程师按照合同约定审慎做出公正的确定。</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总监理工程师应将确定以书面形式通知发包人和承包人，并附详细依据。合同当事人对总监理工程师的确定没有异议的，按照总监理工程师的确定执行。任何一方合同当事人有异议，按照第20条〔争议解决〕约定处理。争议解决前，合同当事人暂按总监理工程师的确定执行；争议解决后，争议解决的结果与总监理工程师的确定不一致的，按照争议解决的结果执行，由此造成的损失由责任人承担。</w:t>
      </w:r>
    </w:p>
    <w:p>
      <w:pPr>
        <w:pStyle w:val="5"/>
        <w:spacing w:before="120" w:after="120" w:line="360" w:lineRule="auto"/>
        <w:outlineLvl w:val="3"/>
        <w:rPr>
          <w:rFonts w:hint="eastAsia" w:ascii="宋体" w:hAnsi="宋体" w:eastAsia="宋体" w:cs="宋体"/>
          <w:color w:val="auto"/>
          <w:sz w:val="24"/>
          <w:szCs w:val="24"/>
          <w:highlight w:val="none"/>
        </w:rPr>
      </w:pPr>
      <w:bookmarkStart w:id="1615" w:name="_Toc351203532"/>
      <w:r>
        <w:rPr>
          <w:rFonts w:hint="eastAsia" w:ascii="宋体" w:hAnsi="宋体" w:eastAsia="宋体" w:cs="宋体"/>
          <w:color w:val="auto"/>
          <w:sz w:val="24"/>
          <w:szCs w:val="24"/>
          <w:highlight w:val="none"/>
        </w:rPr>
        <w:t>5</w:t>
      </w:r>
      <w:bookmarkStart w:id="1616" w:name="_Toc337558758"/>
      <w:r>
        <w:rPr>
          <w:rFonts w:hint="eastAsia" w:ascii="宋体" w:hAnsi="宋体" w:eastAsia="宋体" w:cs="宋体"/>
          <w:color w:val="auto"/>
          <w:sz w:val="24"/>
          <w:szCs w:val="24"/>
          <w:highlight w:val="none"/>
        </w:rPr>
        <w:t>. 工程质量</w:t>
      </w:r>
      <w:bookmarkEnd w:id="1615"/>
    </w:p>
    <w:bookmarkEnd w:id="1616"/>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17" w:name="_Toc351203533"/>
      <w:r>
        <w:rPr>
          <w:rFonts w:hint="eastAsia" w:ascii="宋体" w:hAnsi="宋体" w:cs="宋体"/>
          <w:b/>
          <w:bCs/>
          <w:color w:val="auto"/>
          <w:sz w:val="21"/>
          <w:szCs w:val="21"/>
          <w:highlight w:val="none"/>
          <w:lang w:val="en-US" w:eastAsia="zh-CN"/>
        </w:rPr>
        <w:t>5</w:t>
      </w:r>
      <w:bookmarkStart w:id="1618" w:name="_Toc337558759"/>
      <w:r>
        <w:rPr>
          <w:rFonts w:hint="eastAsia" w:ascii="宋体" w:hAnsi="宋体" w:cs="宋体"/>
          <w:b/>
          <w:bCs/>
          <w:color w:val="auto"/>
          <w:sz w:val="21"/>
          <w:szCs w:val="21"/>
          <w:highlight w:val="none"/>
          <w:lang w:val="en-US" w:eastAsia="zh-CN"/>
        </w:rPr>
        <w:t>.1质量要求</w:t>
      </w:r>
      <w:bookmarkEnd w:id="1617"/>
    </w:p>
    <w:bookmarkEnd w:id="1618"/>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5.1.1 工程质量标准必须符合现行国家有关工程施工质量验收规范和标准的要求。有关工程质量的特殊标准或要求由合同当事人在专用合同条款中约定。</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5.1.2 因发包人原因造成工程质量未达到合同约定标准的，由发包人承担由此增加的费用和（或）延误的工期，并支付承包人合理的利润。</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5.1.3 因承包人原因造成工程质量未达到合同约定标准的，发包人有权要求承包人返工直至工程质量达到合同约定的标准为止，并由承包人承担由此增加的费用和（或）延误的工期。</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19" w:name="_Toc351203534"/>
      <w:r>
        <w:rPr>
          <w:rFonts w:hint="eastAsia" w:ascii="宋体" w:hAnsi="宋体" w:cs="宋体"/>
          <w:b/>
          <w:bCs/>
          <w:color w:val="auto"/>
          <w:sz w:val="21"/>
          <w:szCs w:val="21"/>
          <w:highlight w:val="none"/>
          <w:lang w:val="en-US" w:eastAsia="zh-CN"/>
        </w:rPr>
        <w:t>5</w:t>
      </w:r>
      <w:bookmarkStart w:id="1620" w:name="_Toc337558760"/>
      <w:r>
        <w:rPr>
          <w:rFonts w:hint="eastAsia" w:ascii="宋体" w:hAnsi="宋体" w:cs="宋体"/>
          <w:b/>
          <w:bCs/>
          <w:color w:val="auto"/>
          <w:sz w:val="21"/>
          <w:szCs w:val="21"/>
          <w:highlight w:val="none"/>
          <w:lang w:val="en-US" w:eastAsia="zh-CN"/>
        </w:rPr>
        <w:t>.2质量保证措施</w:t>
      </w:r>
      <w:bookmarkEnd w:id="1619"/>
    </w:p>
    <w:bookmarkEnd w:id="1620"/>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bookmarkStart w:id="1621" w:name="_Toc10920"/>
      <w:r>
        <w:rPr>
          <w:rFonts w:hint="eastAsia" w:ascii="宋体" w:hAnsi="宋体" w:cs="宋体"/>
          <w:color w:val="auto"/>
          <w:kern w:val="0"/>
          <w:szCs w:val="21"/>
          <w:highlight w:val="none"/>
        </w:rPr>
        <w:t>5.2.1 发包人的质量管理</w:t>
      </w:r>
      <w:bookmarkEnd w:id="1621"/>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发包人应按照法律规定及合同约定完成与工程质量有关的各项工作。</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5.2.2 承包人的质量管理</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按照第7.1款〔施工组织设计〕约定向发包人和监理人提交工程质量保证体系及措施文件，建立完善的质量检查制度，并提交相应的工程质量文件。对于发包人和监理人违反法律规定和合同约定的错误指示，承包人有权拒绝实施。</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承包人应对施工人员进行质量教育和技术培训，定期考核施工人员的劳动技能，严格执行施工规范和操作规程。</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bookmarkStart w:id="1622" w:name="_Toc16750"/>
      <w:r>
        <w:rPr>
          <w:rFonts w:hint="eastAsia" w:ascii="宋体" w:hAnsi="宋体" w:cs="宋体"/>
          <w:color w:val="auto"/>
          <w:kern w:val="0"/>
          <w:szCs w:val="21"/>
          <w:highlight w:val="none"/>
        </w:rPr>
        <w:t>5.2.3 监理人的质量检查和检验</w:t>
      </w:r>
      <w:bookmarkEnd w:id="1622"/>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23" w:name="_Toc351203535"/>
      <w:r>
        <w:rPr>
          <w:rFonts w:hint="eastAsia" w:ascii="宋体" w:hAnsi="宋体" w:cs="宋体"/>
          <w:b/>
          <w:bCs/>
          <w:color w:val="auto"/>
          <w:sz w:val="21"/>
          <w:szCs w:val="21"/>
          <w:highlight w:val="none"/>
          <w:lang w:val="en-US" w:eastAsia="zh-CN"/>
        </w:rPr>
        <w:t>5</w:t>
      </w:r>
      <w:bookmarkStart w:id="1624" w:name="_Toc337558761"/>
      <w:r>
        <w:rPr>
          <w:rFonts w:hint="eastAsia" w:ascii="宋体" w:hAnsi="宋体" w:cs="宋体"/>
          <w:b/>
          <w:bCs/>
          <w:color w:val="auto"/>
          <w:sz w:val="21"/>
          <w:szCs w:val="21"/>
          <w:highlight w:val="none"/>
          <w:lang w:val="en-US" w:eastAsia="zh-CN"/>
        </w:rPr>
        <w:t>.3 隐蔽工程检查</w:t>
      </w:r>
      <w:bookmarkEnd w:id="1623"/>
    </w:p>
    <w:bookmarkEnd w:id="1624"/>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5.3.1承包人自检</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承包人应当对工程隐蔽部位进行自检，并经自检确认是否具备覆盖条件。</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5.3.2检查程序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工程隐蔽部位经承包人自检确认具备覆盖条件的，承包人应在共同检查前48小时书面通知发包人、设计人、监理人检查验收，通知中应载明隐蔽检查的内容、时间和地点，并应附有自检记录和必要的检查资料。</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设计人、监理人应按时到场并对隐蔽工程及其施工工艺、材料和工程设备进行检查。经发包人、设计人、监理人检查确认质量符合隐蔽要求，并在验收记录上签字后，承包人才能进行覆盖。经检查质量不合格的，承包人应在监理人指示的时间内完成修复，并由发包人、设计人、监理人重新检查，由此增加的费用和（或）延误的工期由承包人承担。</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设计人、监理人不能按时进行检查的，应在检查前24小时向承包人提交书面延期要求，但延期不能超过48小时，由此导致工期延误的，工期应予以顺延。发包人、设计人、监理人未按时进行检查，也未提出延期要求的，视为隐蔽工程检查合格，承包人可自行完成覆盖工作，并作相应记录报送监理人，监理人应签字确认。监理人事后对检查记录有疑问的，可按第5.3.3项〔重新检查〕的约定重新检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5.3.3 重新检查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5.3.4 承包人私自覆盖</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kern w:val="0"/>
          <w:szCs w:val="21"/>
          <w:highlight w:val="none"/>
        </w:rPr>
        <w:t>承包人未通知发包人、设计人、监理人到场检查，私自将工程隐蔽部位覆盖的，隐蔽工程价款不予计量。</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25" w:name="_Toc351203536"/>
      <w:r>
        <w:rPr>
          <w:rFonts w:hint="eastAsia" w:ascii="宋体" w:hAnsi="宋体" w:cs="宋体"/>
          <w:b/>
          <w:bCs/>
          <w:color w:val="auto"/>
          <w:sz w:val="21"/>
          <w:szCs w:val="21"/>
          <w:highlight w:val="none"/>
          <w:lang w:val="en-US" w:eastAsia="zh-CN"/>
        </w:rPr>
        <w:t>5</w:t>
      </w:r>
      <w:bookmarkStart w:id="1626" w:name="_Toc337558762"/>
      <w:r>
        <w:rPr>
          <w:rFonts w:hint="eastAsia" w:ascii="宋体" w:hAnsi="宋体" w:cs="宋体"/>
          <w:b/>
          <w:bCs/>
          <w:color w:val="auto"/>
          <w:sz w:val="21"/>
          <w:szCs w:val="21"/>
          <w:highlight w:val="none"/>
          <w:lang w:val="en-US" w:eastAsia="zh-CN"/>
        </w:rPr>
        <w:t>.4不合格工程的处理</w:t>
      </w:r>
      <w:bookmarkEnd w:id="1625"/>
    </w:p>
    <w:bookmarkEnd w:id="1626"/>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5.4.1 因承包人原因造成工程不合格的，发包人有权随时要求承包人采取补救措施，直至达到合同要求的质量标准，由此增加的费用和（或）延误的工期由承包人承担。无法补救的，按照第13.2.4项〔拒绝接收全部或部分工程〕约定执行。 </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5.4.2 因发包人原因造成工程不合格的，由此增加的费用和（或）延误的工期由发包人承担，并支付承包人合理的利润。</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27" w:name="_Toc351203537"/>
      <w:r>
        <w:rPr>
          <w:rFonts w:hint="eastAsia" w:ascii="宋体" w:hAnsi="宋体" w:cs="宋体"/>
          <w:b/>
          <w:bCs/>
          <w:color w:val="auto"/>
          <w:sz w:val="21"/>
          <w:szCs w:val="21"/>
          <w:highlight w:val="none"/>
          <w:lang w:val="en-US" w:eastAsia="zh-CN"/>
        </w:rPr>
        <w:t>5.5 质量争议检测</w:t>
      </w:r>
      <w:bookmarkEnd w:id="1627"/>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合同当事人对工程质量有争议的，由双方协商确定的工程质量检测机构鉴定，由此产生的费用及因此造成的损失，由责任方承担。</w:t>
      </w:r>
    </w:p>
    <w:p>
      <w:pPr>
        <w:autoSpaceDE w:val="0"/>
        <w:autoSpaceDN w:val="0"/>
        <w:adjustRightInd w:val="0"/>
        <w:spacing w:line="360" w:lineRule="auto"/>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合同当事人均有责任的，由双方根据其责任分别承担。合同当事人无法达成一致的，按照第4.4款〔商定或确定〕执行。</w:t>
      </w:r>
    </w:p>
    <w:p>
      <w:pPr>
        <w:pStyle w:val="5"/>
        <w:spacing w:before="120" w:after="120" w:line="360" w:lineRule="auto"/>
        <w:outlineLvl w:val="3"/>
        <w:rPr>
          <w:rFonts w:hint="eastAsia" w:ascii="宋体" w:hAnsi="宋体" w:eastAsia="宋体" w:cs="宋体"/>
          <w:color w:val="auto"/>
          <w:sz w:val="24"/>
          <w:szCs w:val="24"/>
          <w:highlight w:val="none"/>
        </w:rPr>
      </w:pPr>
      <w:bookmarkStart w:id="1628" w:name="_Toc351203538"/>
      <w:r>
        <w:rPr>
          <w:rFonts w:hint="eastAsia" w:ascii="宋体" w:hAnsi="宋体" w:eastAsia="宋体" w:cs="宋体"/>
          <w:color w:val="auto"/>
          <w:sz w:val="24"/>
          <w:szCs w:val="24"/>
          <w:highlight w:val="none"/>
        </w:rPr>
        <w:t>6</w:t>
      </w:r>
      <w:bookmarkStart w:id="1629" w:name="_Toc337558763"/>
      <w:r>
        <w:rPr>
          <w:rFonts w:hint="eastAsia" w:ascii="宋体" w:hAnsi="宋体" w:eastAsia="宋体" w:cs="宋体"/>
          <w:color w:val="auto"/>
          <w:sz w:val="24"/>
          <w:szCs w:val="24"/>
          <w:highlight w:val="none"/>
        </w:rPr>
        <w:t>. 安全文明施工与环境保护</w:t>
      </w:r>
      <w:bookmarkEnd w:id="1628"/>
    </w:p>
    <w:bookmarkEnd w:id="1629"/>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30" w:name="_Toc351203539"/>
      <w:r>
        <w:rPr>
          <w:rFonts w:hint="eastAsia" w:ascii="宋体" w:hAnsi="宋体" w:cs="宋体"/>
          <w:b/>
          <w:bCs/>
          <w:color w:val="auto"/>
          <w:sz w:val="21"/>
          <w:szCs w:val="21"/>
          <w:highlight w:val="none"/>
          <w:lang w:val="en-US" w:eastAsia="zh-CN"/>
        </w:rPr>
        <w:t>6</w:t>
      </w:r>
      <w:bookmarkStart w:id="1631" w:name="_Toc337558764"/>
      <w:r>
        <w:rPr>
          <w:rFonts w:hint="eastAsia" w:ascii="宋体" w:hAnsi="宋体" w:cs="宋体"/>
          <w:b/>
          <w:bCs/>
          <w:color w:val="auto"/>
          <w:sz w:val="21"/>
          <w:szCs w:val="21"/>
          <w:highlight w:val="none"/>
          <w:lang w:val="en-US" w:eastAsia="zh-CN"/>
        </w:rPr>
        <w:t>.1安全文明施工</w:t>
      </w:r>
      <w:bookmarkEnd w:id="1630"/>
    </w:p>
    <w:bookmarkEnd w:id="1631"/>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6.1.1安全生产要求</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在施工过程中，如遇到突发的地质变动、事先未知的地下施工障碍等影响施工安全的紧急情况，承包人应及时报告监理人和发包人，发包人应当及时下令停工并报</w:t>
      </w:r>
      <w:r>
        <w:rPr>
          <w:rFonts w:hint="eastAsia" w:ascii="宋体" w:hAnsi="宋体" w:cs="宋体"/>
          <w:color w:val="auto"/>
          <w:kern w:val="0"/>
          <w:szCs w:val="21"/>
          <w:highlight w:val="none"/>
        </w:rPr>
        <w:t>政府有关行政管理部门</w:t>
      </w:r>
      <w:r>
        <w:rPr>
          <w:rFonts w:hint="eastAsia" w:ascii="宋体" w:hAnsi="宋体" w:cs="宋体"/>
          <w:color w:val="auto"/>
          <w:szCs w:val="21"/>
          <w:highlight w:val="none"/>
        </w:rPr>
        <w:t>采取应急措施。</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因安全生产需要暂停施工的，按照第7.8款〔暂停施工〕的约定执行。</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6.1.2 安全生产保证措施</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承包人应当按照有关</w:t>
      </w:r>
      <w:r>
        <w:rPr>
          <w:rFonts w:hint="eastAsia" w:ascii="宋体" w:hAnsi="宋体" w:cs="宋体"/>
          <w:color w:val="auto"/>
          <w:kern w:val="0"/>
          <w:szCs w:val="21"/>
          <w:highlight w:val="none"/>
        </w:rPr>
        <w:t>规定编制安全技术措施或者专项施工方案，</w:t>
      </w:r>
      <w:r>
        <w:rPr>
          <w:rFonts w:hint="eastAsia" w:ascii="宋体" w:hAnsi="宋体" w:cs="宋体"/>
          <w:color w:val="auto"/>
          <w:szCs w:val="21"/>
          <w:highlight w:val="none"/>
        </w:rPr>
        <w:t>建立安全生产责任制度、治安保卫制度及安全生产教育培训制度，并</w:t>
      </w:r>
      <w:r>
        <w:rPr>
          <w:rFonts w:hint="eastAsia" w:ascii="宋体" w:hAnsi="宋体" w:cs="宋体"/>
          <w:color w:val="auto"/>
          <w:kern w:val="0"/>
          <w:szCs w:val="21"/>
          <w:highlight w:val="none"/>
        </w:rPr>
        <w:t>按安全生产法律规定及合同约定履行安全职责，如实</w:t>
      </w:r>
      <w:r>
        <w:rPr>
          <w:rFonts w:hint="eastAsia" w:ascii="宋体" w:hAnsi="宋体" w:cs="宋体"/>
          <w:color w:val="auto"/>
          <w:szCs w:val="21"/>
          <w:highlight w:val="none"/>
        </w:rPr>
        <w:t>编制工程安全生产的有关记录，</w:t>
      </w:r>
      <w:r>
        <w:rPr>
          <w:rFonts w:hint="eastAsia" w:ascii="宋体" w:hAnsi="宋体" w:cs="宋体"/>
          <w:color w:val="auto"/>
          <w:kern w:val="0"/>
          <w:szCs w:val="21"/>
          <w:highlight w:val="none"/>
        </w:rPr>
        <w:t>接受发包人、监理人及政府安全监督部门的检查与监督。</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6.1.3特别安全生产事项</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 xml:space="preserve">承包人在动力设备、输电线路、地下管道、密封防震车间、易燃易爆地段以及临街交通要道附近施工时，施工开始前应向发包人和监理人提出安全防护措施，经发包人认可后实施。 </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实施爆破作业，在放射、毒害性环境中施工（含储存、运输、使用）及使用毒害性、腐蚀性物品施工时，承包人应在施工前7天以书面通知发包人和监理人，并报送相应的安全防护措施，经发包人认可后实施。</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需单独编制危险性较大分部分项专项工程施工方案的，及要求进行专家论证的超过一定规模的危险性较大的分部分项工程，承包人应及时编制和组织论证。</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6.1.4 治安保卫</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除专用合同条款另有约定外，发包人应与当地公安部门协商，在现场建立治安管理机构或联防组织，统一管理施工场地的治安保卫事项，履行合同工程的治安保卫职责。</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发包人和承包人除应协助现场治安管理机构或联防组织维护施工场地的社会治安外，还应做好包括生活区在内的各自管辖区的治安保卫工作。</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除专用合同条款另有约定外，发包人和承包人应在工程开工后7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和财产损失。</w:t>
      </w:r>
    </w:p>
    <w:p>
      <w:pPr>
        <w:spacing w:line="360" w:lineRule="auto"/>
        <w:ind w:firstLine="420" w:firstLineChars="200"/>
        <w:outlineLvl w:val="9"/>
        <w:rPr>
          <w:rFonts w:ascii="宋体" w:hAnsi="宋体" w:cs="宋体"/>
          <w:color w:val="auto"/>
          <w:kern w:val="0"/>
          <w:szCs w:val="21"/>
          <w:highlight w:val="none"/>
        </w:rPr>
      </w:pPr>
      <w:r>
        <w:rPr>
          <w:rFonts w:hint="eastAsia" w:ascii="宋体" w:hAnsi="宋体" w:cs="宋体"/>
          <w:color w:val="auto"/>
          <w:szCs w:val="21"/>
          <w:highlight w:val="none"/>
        </w:rPr>
        <w:t>6.1.5 文明施工</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承包人在工程施工期间，应当采取措施保持施工现场平整，物料堆放整齐。工程所在地有关政府行政管理部门有特殊要求的，按照其要求执行。合同当事人对文明施工有其他要求的，可以在专用合同条款中明确。</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6.1.6 安全文明施工费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安全文明施工费由发包人承担，发包人不得以任何形式扣减该部分费用。因基准日期后合同所适用的法律或政府有关规定发生变化，增加的安全文明施工费由发包人承担。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应在开工后28天内预付安全文明施工费总额的50%，其余部分与进度款同期支付。发包人逾期支付安全文明施工费超过7天的，承包人有权向发包人发出要求预付的催告通知，发包人收到通知后7天内仍未支付的，承包人有权暂停施工，并按第16.1.1项〔发包人违约的情形〕执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6.1.7 紧急情况处理</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6.1.8 事故处理</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6.1.9 安全生产责任</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6.1.9.1 发包人的安全责任</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发包人应负责赔偿以下各种情况造成的损失：</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（2）由于发包人原因在施工场地及其毗邻地带造成的第三者人身伤亡和财产损失；</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（3）由于发包人原因对承包人、监理人造成的人员人身伤亡和财产损失；</w:t>
      </w:r>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（4）由于发包人原因造成的发包人自身人员的人身伤害以及财产损失。</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6.1.9.2 承包人的安全责任</w:t>
      </w:r>
    </w:p>
    <w:p>
      <w:pPr>
        <w:spacing w:line="360" w:lineRule="auto"/>
        <w:ind w:firstLine="420" w:firstLineChars="200"/>
        <w:outlineLvl w:val="9"/>
        <w:rPr>
          <w:rFonts w:ascii="宋体" w:hAnsi="宋体" w:cs="宋体"/>
          <w:color w:val="auto"/>
          <w:kern w:val="0"/>
          <w:szCs w:val="21"/>
          <w:highlight w:val="none"/>
        </w:rPr>
      </w:pPr>
      <w:r>
        <w:rPr>
          <w:rFonts w:hint="eastAsia" w:ascii="宋体" w:hAnsi="宋体" w:cs="宋体"/>
          <w:color w:val="auto"/>
          <w:szCs w:val="21"/>
          <w:highlight w:val="none"/>
        </w:rPr>
        <w:t>由于承包人原因在施工场地内及其毗邻地带造成的发包人、监理人以及第三者人员伤亡和财产损失，由承包人负责赔偿。</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32" w:name="_Toc351203540"/>
      <w:r>
        <w:rPr>
          <w:rFonts w:hint="eastAsia" w:ascii="宋体" w:hAnsi="宋体" w:cs="宋体"/>
          <w:b/>
          <w:bCs/>
          <w:color w:val="auto"/>
          <w:sz w:val="21"/>
          <w:szCs w:val="21"/>
          <w:highlight w:val="none"/>
          <w:lang w:val="en-US" w:eastAsia="zh-CN"/>
        </w:rPr>
        <w:t>6</w:t>
      </w:r>
      <w:bookmarkStart w:id="1633" w:name="_Toc337558765"/>
      <w:r>
        <w:rPr>
          <w:rFonts w:hint="eastAsia" w:ascii="宋体" w:hAnsi="宋体" w:cs="宋体"/>
          <w:b/>
          <w:bCs/>
          <w:color w:val="auto"/>
          <w:sz w:val="21"/>
          <w:szCs w:val="21"/>
          <w:highlight w:val="none"/>
          <w:lang w:val="en-US" w:eastAsia="zh-CN"/>
        </w:rPr>
        <w:t>.2 职业健康</w:t>
      </w:r>
      <w:bookmarkEnd w:id="1632"/>
    </w:p>
    <w:bookmarkEnd w:id="1633"/>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6.2.1 劳动保护</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按照法律规定保障现场施工人员的劳动安全，并提供劳动保护,并应按国家有关劳动保护的规定，采取有效的防止粉尘、降低噪声、控制有害气体和保障高温、高寒、高空作业安全等劳动保护措施。承包人雇佣人员在施工中受到伤害的，承包人应立即采取有效措施进行抢救和治疗。</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承包人应按法律规定安排工作时间，保证其雇佣人员享有休息和休假的权利。因工程施工的特殊需要占用休假日或延长工作时间的，应不超过法律规定的限度，并按法律规定给予补休或付酬。</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6.2.2 生活条件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承包人应为其履行合同所雇用的人员提供必要的膳宿条件和生活环境；承包人应采取有效措施预防传染病，保证施工人员的健康，并定期对施工现场、施工人员生活基地和工程进行防疫和卫生的专业检查和处理, 在远离城镇的施工场地，还应配备必要的伤病防治和急救的医务人员与医疗设施。</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34" w:name="_Toc351203541"/>
      <w:r>
        <w:rPr>
          <w:rFonts w:hint="eastAsia" w:ascii="宋体" w:hAnsi="宋体" w:cs="宋体"/>
          <w:b/>
          <w:bCs/>
          <w:color w:val="auto"/>
          <w:sz w:val="21"/>
          <w:szCs w:val="21"/>
          <w:highlight w:val="none"/>
          <w:lang w:val="en-US" w:eastAsia="zh-CN"/>
        </w:rPr>
        <w:t>6</w:t>
      </w:r>
      <w:bookmarkStart w:id="1635" w:name="_Toc337558766"/>
      <w:r>
        <w:rPr>
          <w:rFonts w:hint="eastAsia" w:ascii="宋体" w:hAnsi="宋体" w:cs="宋体"/>
          <w:b/>
          <w:bCs/>
          <w:color w:val="auto"/>
          <w:sz w:val="21"/>
          <w:szCs w:val="21"/>
          <w:highlight w:val="none"/>
          <w:lang w:val="en-US" w:eastAsia="zh-CN"/>
        </w:rPr>
        <w:t>.3 环境保护</w:t>
      </w:r>
      <w:bookmarkEnd w:id="1634"/>
    </w:p>
    <w:bookmarkEnd w:id="1635"/>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承包人应在施工组织设计中列明环境保护的具体措施。在合同履行期间，承包人应采取合理措施保护施工现场环境。对施工作业过程中可能引起的大气、水、噪音以及固体废物污染采取具体可行的防范措施。</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承包人应当承担因其原因引起的环境污染侵权损害赔偿责任，因上述环境污染引起纠纷而导致暂停施工的，由此增加的费用和（或）延误的工期由承包人承担。</w:t>
      </w:r>
    </w:p>
    <w:p>
      <w:pPr>
        <w:pStyle w:val="5"/>
        <w:spacing w:before="120" w:after="120" w:line="360" w:lineRule="auto"/>
        <w:outlineLvl w:val="3"/>
        <w:rPr>
          <w:rFonts w:hint="eastAsia" w:ascii="宋体" w:hAnsi="宋体" w:eastAsia="宋体" w:cs="宋体"/>
          <w:color w:val="auto"/>
          <w:sz w:val="24"/>
          <w:szCs w:val="24"/>
          <w:highlight w:val="none"/>
        </w:rPr>
      </w:pPr>
      <w:bookmarkStart w:id="1636" w:name="_Toc351203542"/>
      <w:r>
        <w:rPr>
          <w:rFonts w:hint="eastAsia" w:ascii="宋体" w:hAnsi="宋体" w:eastAsia="宋体" w:cs="宋体"/>
          <w:color w:val="auto"/>
          <w:sz w:val="24"/>
          <w:szCs w:val="24"/>
          <w:highlight w:val="none"/>
        </w:rPr>
        <w:t>7</w:t>
      </w:r>
      <w:bookmarkStart w:id="1637" w:name="_Toc337558767"/>
      <w:r>
        <w:rPr>
          <w:rFonts w:hint="eastAsia" w:ascii="宋体" w:hAnsi="宋体" w:eastAsia="宋体" w:cs="宋体"/>
          <w:color w:val="auto"/>
          <w:sz w:val="24"/>
          <w:szCs w:val="24"/>
          <w:highlight w:val="none"/>
        </w:rPr>
        <w:t>. 工期和进度</w:t>
      </w:r>
      <w:bookmarkEnd w:id="1636"/>
    </w:p>
    <w:bookmarkEnd w:id="1637"/>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38" w:name="_Toc351203543"/>
      <w:r>
        <w:rPr>
          <w:rFonts w:hint="eastAsia" w:ascii="宋体" w:hAnsi="宋体" w:cs="宋体"/>
          <w:b/>
          <w:bCs/>
          <w:color w:val="auto"/>
          <w:sz w:val="21"/>
          <w:szCs w:val="21"/>
          <w:highlight w:val="none"/>
          <w:lang w:val="en-US" w:eastAsia="zh-CN"/>
        </w:rPr>
        <w:t>7</w:t>
      </w:r>
      <w:bookmarkStart w:id="1639" w:name="_Toc337558768"/>
      <w:bookmarkStart w:id="1640" w:name="_Toc296503066"/>
      <w:bookmarkStart w:id="1641" w:name="_Toc296346567"/>
      <w:r>
        <w:rPr>
          <w:rFonts w:hint="eastAsia" w:ascii="宋体" w:hAnsi="宋体" w:cs="宋体"/>
          <w:b/>
          <w:bCs/>
          <w:color w:val="auto"/>
          <w:sz w:val="21"/>
          <w:szCs w:val="21"/>
          <w:highlight w:val="none"/>
          <w:lang w:val="en-US" w:eastAsia="zh-CN"/>
        </w:rPr>
        <w:t>.1施工组织设计</w:t>
      </w:r>
      <w:bookmarkEnd w:id="1638"/>
    </w:p>
    <w:bookmarkEnd w:id="1639"/>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 xml:space="preserve">7.1.1 </w:t>
      </w:r>
      <w:r>
        <w:rPr>
          <w:rFonts w:hint="eastAsia" w:ascii="宋体" w:hAnsi="宋体" w:cs="宋体"/>
          <w:color w:val="auto"/>
          <w:kern w:val="0"/>
          <w:szCs w:val="21"/>
          <w:highlight w:val="none"/>
        </w:rPr>
        <w:t>施工组织设计的内容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施工组织设计应包含以下内容：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（1）施工方案； </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（2）施工现场平面布置图；</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（3）施工进度计划和保证措施； </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（4）劳动力及材料供应计划；</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（5）施工机械设备的选用；</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（6）质量保证体系及措施；</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（7）安全生产、文明施工措施；</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（8）环境保护、成本控制措施；</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（9）合同当事人约定的其他内容。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 xml:space="preserve">7.1.2 </w:t>
      </w:r>
      <w:r>
        <w:rPr>
          <w:rFonts w:hint="eastAsia" w:ascii="宋体" w:hAnsi="宋体" w:cs="宋体"/>
          <w:color w:val="auto"/>
          <w:kern w:val="0"/>
          <w:szCs w:val="21"/>
          <w:highlight w:val="none"/>
        </w:rPr>
        <w:t>施工组织设计的提交和修改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承包人应在合同签订后14天内，但至迟不得晚于第7.3.2项〔开工通知〕载明的开工日期前7天，向监理人提交详细的施工组织设计，并由监理人报送发包人。除专用合同条款另有约定外，发包人和监理人应在监理人收到施工组织设计后7天内确认或提出修改意见。对发包人和监理人提出的合理意见和要求，承包人应自费修改完善。根据工程实际情况需要修改施工组织设计的，承包人应向发包人和监理人提交修改后的施工组织设计。</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施工进度计划的编制和修改按照第7.2款〔施工进度计划〕执行。</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42" w:name="_Toc351203544"/>
      <w:r>
        <w:rPr>
          <w:rFonts w:hint="eastAsia" w:ascii="宋体" w:hAnsi="宋体" w:cs="宋体"/>
          <w:b/>
          <w:bCs/>
          <w:color w:val="auto"/>
          <w:sz w:val="21"/>
          <w:szCs w:val="21"/>
          <w:highlight w:val="none"/>
          <w:lang w:val="en-US" w:eastAsia="zh-CN"/>
        </w:rPr>
        <w:t>7</w:t>
      </w:r>
      <w:bookmarkStart w:id="1643" w:name="_Toc337558769"/>
      <w:r>
        <w:rPr>
          <w:rFonts w:hint="eastAsia" w:ascii="宋体" w:hAnsi="宋体" w:cs="宋体"/>
          <w:b/>
          <w:bCs/>
          <w:color w:val="auto"/>
          <w:sz w:val="21"/>
          <w:szCs w:val="21"/>
          <w:highlight w:val="none"/>
          <w:lang w:val="en-US" w:eastAsia="zh-CN"/>
        </w:rPr>
        <w:t>.2 施工进度计划</w:t>
      </w:r>
      <w:bookmarkEnd w:id="1642"/>
    </w:p>
    <w:bookmarkEnd w:id="1643"/>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7.2.1 施工进度计划的编制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按照第7.1款〔施工组织设计〕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7.2.2 施工进度计划的修订</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施工进度计划不符合合同要求或与工程的实际进度不一致的，承包人应向监理人提交修订的施工进度计划，并附具有关措施和相关资料，由监理人报送发包人。除专用合同条款另有约定外，发包人和监理人应在收到修订的施工进度计划后7天内完成审核和批准或提出修改意见。发包人和监理人对承包人提交的施工进度计划的确认，不能减轻或免除承包人根据法律规定和合同约定应承担的任何责任或义务。</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44" w:name="_Toc351203545"/>
      <w:r>
        <w:rPr>
          <w:rFonts w:hint="eastAsia" w:ascii="宋体" w:hAnsi="宋体" w:cs="宋体"/>
          <w:b/>
          <w:bCs/>
          <w:color w:val="auto"/>
          <w:sz w:val="21"/>
          <w:szCs w:val="21"/>
          <w:highlight w:val="none"/>
          <w:lang w:val="en-US" w:eastAsia="zh-CN"/>
        </w:rPr>
        <w:t>7</w:t>
      </w:r>
      <w:bookmarkStart w:id="1645" w:name="_Toc337558770"/>
      <w:r>
        <w:rPr>
          <w:rFonts w:hint="eastAsia" w:ascii="宋体" w:hAnsi="宋体" w:cs="宋体"/>
          <w:b/>
          <w:bCs/>
          <w:color w:val="auto"/>
          <w:sz w:val="21"/>
          <w:szCs w:val="21"/>
          <w:highlight w:val="none"/>
          <w:lang w:val="en-US" w:eastAsia="zh-CN"/>
        </w:rPr>
        <w:t>.3 开工</w:t>
      </w:r>
      <w:bookmarkEnd w:id="1644"/>
    </w:p>
    <w:p>
      <w:pPr>
        <w:spacing w:line="360" w:lineRule="auto"/>
        <w:ind w:firstLine="420" w:firstLineChars="200"/>
        <w:outlineLvl w:val="9"/>
        <w:rPr>
          <w:rFonts w:ascii="宋体" w:hAnsi="宋体" w:cs="宋体"/>
          <w:color w:val="auto"/>
          <w:szCs w:val="21"/>
          <w:highlight w:val="none"/>
        </w:rPr>
      </w:pPr>
      <w:r>
        <w:rPr>
          <w:rFonts w:hint="eastAsia" w:ascii="宋体" w:hAnsi="宋体" w:cs="宋体"/>
          <w:color w:val="auto"/>
          <w:kern w:val="0"/>
          <w:szCs w:val="21"/>
          <w:highlight w:val="none"/>
        </w:rPr>
        <w:t>7.3.1 开工准备</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承包人应按照第7.1款〔施工组织设计〕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除专用合同条款另有约定外，合同当事人应按约定完成开工准备工作。</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7.3.2 开工通知</w:t>
      </w:r>
    </w:p>
    <w:bookmarkEnd w:id="1645"/>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发包人应按照法律规定获得工程施工所需的许可。经发包人同意后，监理人发出的开工通知应符合法律规定。监理人应在计划开工日期7天前向承包人发出开工通知，工期自开工通知中载明的开工日期起算。</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因发包人原因造成监理人未能在计划开工日期之日起90天内发出开工通知的，承包人有权提出价格调整要求，或者解除合同。发包人应当承担由此增加的费用和（或）延误的工期，并向承包人支付合理利润。</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46" w:name="_Toc351203546"/>
      <w:r>
        <w:rPr>
          <w:rFonts w:hint="eastAsia" w:ascii="宋体" w:hAnsi="宋体" w:cs="宋体"/>
          <w:b/>
          <w:bCs/>
          <w:color w:val="auto"/>
          <w:sz w:val="21"/>
          <w:szCs w:val="21"/>
          <w:highlight w:val="none"/>
          <w:lang w:val="en-US" w:eastAsia="zh-CN"/>
        </w:rPr>
        <w:t>7.4测量放线</w:t>
      </w:r>
      <w:bookmarkEnd w:id="1646"/>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7.4.1 除专用合同条款另有约定外，发包人应在至迟不得晚于第7.3.2项〔开工通知〕载明的开工日期前7天通过监理人向承包人提供测量基准点、基准线和水准点及其书面资料。发包人应对其提供的测量基准点、基准线和水准点及其书面资料的真实性、准确性和完整性负责。</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7.4.2 承包人负责施工过程中的全部施工测量放线工作，并配置具有相应资质的人员、合格的仪器、设备和其他物品。承包人应矫正工程的位置、标高、尺寸或准线中出现的任何差错，并对工程各部分的定位负责。</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施工过程中对施工现场内水准点等测量标志物的保护工作由承包人负责。</w:t>
      </w:r>
      <w:bookmarkStart w:id="1647" w:name="_Toc351203547"/>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7</w:t>
      </w:r>
      <w:bookmarkEnd w:id="1640"/>
      <w:bookmarkEnd w:id="1641"/>
      <w:bookmarkStart w:id="1648" w:name="_Toc296503073"/>
      <w:bookmarkStart w:id="1649" w:name="_Toc337558772"/>
      <w:bookmarkStart w:id="1650" w:name="_Toc296346574"/>
      <w:r>
        <w:rPr>
          <w:rFonts w:hint="eastAsia" w:ascii="宋体" w:hAnsi="宋体" w:cs="宋体"/>
          <w:b/>
          <w:bCs/>
          <w:color w:val="auto"/>
          <w:sz w:val="21"/>
          <w:szCs w:val="21"/>
          <w:highlight w:val="none"/>
          <w:lang w:val="en-US" w:eastAsia="zh-CN"/>
        </w:rPr>
        <w:t>.5 工期延误</w:t>
      </w:r>
      <w:bookmarkEnd w:id="1647"/>
    </w:p>
    <w:bookmarkEnd w:id="1648"/>
    <w:bookmarkEnd w:id="1649"/>
    <w:bookmarkEnd w:id="1650"/>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7.5.1 因发包人原因导致工期延误</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在合同履行过程中，因下列情况导致工期延误和（或）费用增加的，由发包人承担由此延误的工期和（或）增加的费用，且发包人应支付承包人合理的利润： </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（1）发包人未能按合同约定提供图纸或所提供图纸不符合合同约定的；</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（2）发包人未能按合同约定提供施工现场、施工条件、基础资料、许可、批准等开工条件的；</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（3）发包人提供的测量基准点、基准线和水准点及其书面资料存在错误或疏漏的；</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（4）发包人未能在计划开工日期之日起7天内同意下达开工通知的；</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（5）发包人未能按合同约定日期支付工程预付款、进度款或竣工结算款的；</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（6）监理人未按合同约定发出指示、批准等文件的；</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（7）专用合同条款中约定的其他情形。</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发包人原因未按计划开工日期开工的，发包人应按实际开工日期顺延竣工日期，确保实际工期不低于合同约定的工期总日历天数。因发包人原因导致工期延误需要修订施工进度计划的，按照第7.2.2项〔施工进度计划的修订〕执行。</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kern w:val="0"/>
          <w:szCs w:val="21"/>
          <w:highlight w:val="none"/>
        </w:rPr>
        <w:t>7.5.2 因承包人原因导致工期延误</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bookmarkStart w:id="1651" w:name="_Toc296346577"/>
      <w:bookmarkStart w:id="1652" w:name="_Toc296503076"/>
      <w:r>
        <w:rPr>
          <w:rFonts w:hint="eastAsia" w:ascii="宋体" w:hAnsi="宋体" w:cs="宋体"/>
          <w:color w:val="auto"/>
          <w:kern w:val="0"/>
          <w:szCs w:val="21"/>
          <w:highlight w:val="none"/>
        </w:rPr>
        <w:t>因</w:t>
      </w:r>
      <w:bookmarkEnd w:id="1651"/>
      <w:bookmarkEnd w:id="1652"/>
      <w:r>
        <w:rPr>
          <w:rFonts w:hint="eastAsia" w:ascii="宋体" w:hAnsi="宋体" w:cs="宋体"/>
          <w:color w:val="auto"/>
          <w:kern w:val="0"/>
          <w:szCs w:val="21"/>
          <w:highlight w:val="none"/>
        </w:rPr>
        <w:t>承包人原因造成工期延误的，可以在专用合同条款中约定逾期竣工违约金的计算方法和逾期竣工违约金的上限。承包人支付逾期竣工违约金后，不免除承包人继续完成工程及修补缺陷的义务。</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53" w:name="_Toc351203548"/>
      <w:r>
        <w:rPr>
          <w:rFonts w:hint="eastAsia" w:ascii="宋体" w:hAnsi="宋体" w:cs="宋体"/>
          <w:b/>
          <w:bCs/>
          <w:color w:val="auto"/>
          <w:sz w:val="21"/>
          <w:szCs w:val="21"/>
          <w:highlight w:val="none"/>
          <w:lang w:val="en-US" w:eastAsia="zh-CN"/>
        </w:rPr>
        <w:t>7</w:t>
      </w:r>
      <w:bookmarkStart w:id="1654" w:name="_Toc337558773"/>
      <w:bookmarkStart w:id="1655" w:name="_Toc296346575"/>
      <w:bookmarkStart w:id="1656" w:name="_Toc296503074"/>
      <w:bookmarkStart w:id="1657" w:name="_Toc296346578"/>
      <w:bookmarkStart w:id="1658" w:name="_Toc296503077"/>
      <w:r>
        <w:rPr>
          <w:rFonts w:hint="eastAsia" w:ascii="宋体" w:hAnsi="宋体" w:cs="宋体"/>
          <w:b/>
          <w:bCs/>
          <w:color w:val="auto"/>
          <w:sz w:val="21"/>
          <w:szCs w:val="21"/>
          <w:highlight w:val="none"/>
          <w:lang w:val="en-US" w:eastAsia="zh-CN"/>
        </w:rPr>
        <w:t>.6 不利物质条件</w:t>
      </w:r>
      <w:bookmarkEnd w:id="1653"/>
    </w:p>
    <w:bookmarkEnd w:id="1654"/>
    <w:bookmarkEnd w:id="1655"/>
    <w:bookmarkEnd w:id="1656"/>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不利物质条件是指有经验的承包人在施工现场遇到的不可预见的自然物质条件、非自然的物质障碍和污染物，包括地表以下物质条件和水文条件以及专用合同条款约定的其他情形，但不包括气候条件。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10条〔变更〕约定执行。承包人因采取合理措施而增加的费用和（或）延误的工期由发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59" w:name="_Toc351203549"/>
      <w:r>
        <w:rPr>
          <w:rFonts w:hint="eastAsia" w:ascii="宋体" w:hAnsi="宋体" w:cs="宋体"/>
          <w:b/>
          <w:bCs/>
          <w:color w:val="auto"/>
          <w:sz w:val="21"/>
          <w:szCs w:val="21"/>
          <w:highlight w:val="none"/>
          <w:lang w:val="en-US" w:eastAsia="zh-CN"/>
        </w:rPr>
        <w:t>7</w:t>
      </w:r>
      <w:bookmarkStart w:id="1660" w:name="_Toc296503075"/>
      <w:bookmarkStart w:id="1661" w:name="_Toc337558774"/>
      <w:bookmarkStart w:id="1662" w:name="_Toc296346576"/>
      <w:r>
        <w:rPr>
          <w:rFonts w:hint="eastAsia" w:ascii="宋体" w:hAnsi="宋体" w:cs="宋体"/>
          <w:b/>
          <w:bCs/>
          <w:color w:val="auto"/>
          <w:sz w:val="21"/>
          <w:szCs w:val="21"/>
          <w:highlight w:val="none"/>
          <w:lang w:val="en-US" w:eastAsia="zh-CN"/>
        </w:rPr>
        <w:t>.7 异常恶劣的气候条件</w:t>
      </w:r>
      <w:bookmarkEnd w:id="1659"/>
    </w:p>
    <w:bookmarkEnd w:id="1660"/>
    <w:bookmarkEnd w:id="1661"/>
    <w:bookmarkEnd w:id="1662"/>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采取克服异常恶劣的气候条件的合理措施继续施工，并及时通知发包人和监理人。监理人经发包人同意后应当及时发出指示，指示构成变更的，按第10条〔变更〕约定办理。承包人因采取合理措施而增加的费用和（或）延误的工期由发包人承担。</w:t>
      </w:r>
      <w:bookmarkStart w:id="1663" w:name="_Toc351203550"/>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64" w:name="_Toc5788"/>
      <w:r>
        <w:rPr>
          <w:rFonts w:hint="eastAsia" w:ascii="宋体" w:hAnsi="宋体" w:cs="宋体"/>
          <w:b/>
          <w:bCs/>
          <w:color w:val="auto"/>
          <w:sz w:val="21"/>
          <w:szCs w:val="21"/>
          <w:highlight w:val="none"/>
          <w:lang w:val="en-US" w:eastAsia="zh-CN"/>
        </w:rPr>
        <w:t>7</w:t>
      </w:r>
      <w:bookmarkStart w:id="1665" w:name="_Toc337558775"/>
      <w:r>
        <w:rPr>
          <w:rFonts w:hint="eastAsia" w:ascii="宋体" w:hAnsi="宋体" w:cs="宋体"/>
          <w:b/>
          <w:bCs/>
          <w:color w:val="auto"/>
          <w:sz w:val="21"/>
          <w:szCs w:val="21"/>
          <w:highlight w:val="none"/>
          <w:lang w:val="en-US" w:eastAsia="zh-CN"/>
        </w:rPr>
        <w:t>.8 暂停施工</w:t>
      </w:r>
      <w:bookmarkEnd w:id="1663"/>
      <w:bookmarkEnd w:id="1664"/>
    </w:p>
    <w:bookmarkEnd w:id="1657"/>
    <w:bookmarkEnd w:id="1658"/>
    <w:bookmarkEnd w:id="1665"/>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7.8.1发包人原因引起的暂停施工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因发包人原因引起暂停施工的，监理人经发包人同意后，应及时下达暂停施工指示。情况紧急且监理人未及时下达暂停施工指示的，按照第7.8.4项〔紧急情况下的暂停施工〕执行。</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因发包人原因引起的暂停施工，发包人应承担由此增加的费用和（或）延误的工期，并支付承包人合理的利润。</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7.8.2 承包人原因引起的暂停施工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承包人原因引起的暂停施工，承包人应承担由此增加的费用和（或）延误的工期，且承包人在收到监理人复工指示后84天内仍未复工的，视为第16.2.1项〔承包人违约的情形〕第（7）目约定的承包人无法继续履行合同的情形。</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7.8.3 指示暂停施工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监理人认为有必要时，并经发包人批准后，可向承包人作出暂停施工的指示，承包人应按监理人指示暂停施工。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7.8.4 紧急情况下的暂停施工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紧急情况需暂停施工，且监理人未及时下达暂停施工指示的，承包人可先暂停施工，并及时通知监理人。监理人应在接到通知后24小时内发出指示，逾期未发出指示，视为同意承包人暂停施工。监理人不同意承包人暂停施工的，应说明理由，承包人对监理人的答复有异议，按照第20条〔争议解决〕约定处理。</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7.8.5 暂停施工后的复工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承包人无故拖延和拒绝复工的，承包人承担由此增加的费用和（或）延误的工期；因发包人原因无法按时复工的，按照第7.5.1项〔因发包人原因导致工期延误〕约定办理。</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7.8.6 暂停施工持续56天以上</w:t>
      </w:r>
    </w:p>
    <w:p>
      <w:pPr>
        <w:spacing w:line="360" w:lineRule="auto"/>
        <w:ind w:firstLine="409" w:firstLineChars="195"/>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发出暂停施工指示后56天内未向承包人发出复工通知，除该项停工属于第7.8.2项〔承包人原因引起的暂停施工〕及第17条〔不可抗力〕约定的情形外，承包人可向发包人提交书面通知，要求发包人在收到书面通知后28天内准许已暂停施工的部分或全部工程继续施工。发包人逾期不予批准的，则承包人可以通知发包人，将工程受影响的部分视为按第10.1款〔变更的范围〕第（2）项的可取消工作。</w:t>
      </w:r>
    </w:p>
    <w:p>
      <w:pPr>
        <w:spacing w:line="360" w:lineRule="auto"/>
        <w:ind w:firstLine="409" w:firstLineChars="195"/>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暂停施工持续84天以上不复工的，且不属于第7.8.2项〔承包人原因引起的暂停施工〕及第17条〔不可抗力〕约定的情形，并影响到整个工程以及合同目的实现的，承包人有权提出价格调整要求，或者解除合同。解除合同的，按照第16.1.3项〔因发包人违约解除合同〕执行。</w:t>
      </w:r>
    </w:p>
    <w:p>
      <w:pPr>
        <w:spacing w:line="360" w:lineRule="auto"/>
        <w:ind w:left="16" w:firstLine="409" w:firstLineChars="195"/>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7.8.7 暂停施工期间的工程照管</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暂停施工期间，承包人应负责妥善照管工程并提供安全保障，由此增加的费用由责任方承担。</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7.8.8 暂停施工的措施</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暂停施工期间，发包人和承包人均应采取必要的措施确保工程质量及安全，防止因暂停施工扩大损失。</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66" w:name="_Toc351203551"/>
      <w:r>
        <w:rPr>
          <w:rFonts w:hint="eastAsia" w:ascii="宋体" w:hAnsi="宋体" w:cs="宋体"/>
          <w:b/>
          <w:bCs/>
          <w:color w:val="auto"/>
          <w:sz w:val="21"/>
          <w:szCs w:val="21"/>
          <w:highlight w:val="none"/>
          <w:lang w:val="en-US" w:eastAsia="zh-CN"/>
        </w:rPr>
        <w:t>7.9提前</w:t>
      </w:r>
      <w:bookmarkEnd w:id="1666"/>
      <w:r>
        <w:rPr>
          <w:rFonts w:hint="eastAsia" w:ascii="宋体" w:hAnsi="宋体" w:cs="宋体"/>
          <w:b/>
          <w:bCs/>
          <w:color w:val="auto"/>
          <w:sz w:val="21"/>
          <w:szCs w:val="21"/>
          <w:highlight w:val="none"/>
          <w:lang w:val="en-US" w:eastAsia="zh-CN"/>
        </w:rPr>
        <w:t>完工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7.9.1 发包人要求承包人提前完工的，发包人应通过监理人向承包人下达提前完工指示，承包人应向发包人和监理人提交提前完工建议书，提前完工建议书应包括实施的方案、缩短的时间、增加的合同价格等内容。发包人接受该提前完工建议书的，监理人应与发包人和承包人协商采取加快工程进度的措施，并修订施工进度计划，由此增加的费用由发包人承担。承包人认为提前完工指示无法执行的，应向监理人和发包人提出书面异议，发包人和监理人应在收到异议后7天内予以答复。任何情况下，发包人不得压缩合理工期。</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7.9.2 发包人要求承包人提前完工，或承包人提出提前完工的建议能够给发包人带来效益的，合同当事人可以在专用合同条款中约定提前竣工的奖励。</w:t>
      </w:r>
    </w:p>
    <w:p>
      <w:pPr>
        <w:pStyle w:val="5"/>
        <w:spacing w:before="120" w:after="120" w:line="360" w:lineRule="auto"/>
        <w:outlineLvl w:val="3"/>
        <w:rPr>
          <w:rFonts w:hint="eastAsia" w:ascii="宋体" w:hAnsi="宋体" w:eastAsia="宋体" w:cs="宋体"/>
          <w:color w:val="auto"/>
          <w:sz w:val="24"/>
          <w:szCs w:val="24"/>
          <w:highlight w:val="none"/>
        </w:rPr>
      </w:pPr>
      <w:bookmarkStart w:id="1667" w:name="_Toc351203552"/>
      <w:r>
        <w:rPr>
          <w:rFonts w:hint="eastAsia" w:ascii="宋体" w:hAnsi="宋体" w:eastAsia="宋体" w:cs="宋体"/>
          <w:color w:val="auto"/>
          <w:sz w:val="24"/>
          <w:szCs w:val="24"/>
          <w:highlight w:val="none"/>
        </w:rPr>
        <w:t>8</w:t>
      </w:r>
      <w:bookmarkStart w:id="1668" w:name="_Toc296346559"/>
      <w:bookmarkStart w:id="1669" w:name="_Toc296503058"/>
      <w:bookmarkStart w:id="1670" w:name="_Toc337558776"/>
      <w:r>
        <w:rPr>
          <w:rFonts w:hint="eastAsia" w:ascii="宋体" w:hAnsi="宋体" w:eastAsia="宋体" w:cs="宋体"/>
          <w:color w:val="auto"/>
          <w:sz w:val="24"/>
          <w:szCs w:val="24"/>
          <w:highlight w:val="none"/>
        </w:rPr>
        <w:t>. 材料与设备</w:t>
      </w:r>
      <w:bookmarkEnd w:id="1667"/>
    </w:p>
    <w:bookmarkEnd w:id="1668"/>
    <w:bookmarkEnd w:id="1669"/>
    <w:bookmarkEnd w:id="1670"/>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71" w:name="_Toc351203553"/>
      <w:r>
        <w:rPr>
          <w:rFonts w:hint="eastAsia" w:ascii="宋体" w:hAnsi="宋体" w:cs="宋体"/>
          <w:b/>
          <w:bCs/>
          <w:color w:val="auto"/>
          <w:sz w:val="21"/>
          <w:szCs w:val="21"/>
          <w:highlight w:val="none"/>
          <w:lang w:val="en-US" w:eastAsia="zh-CN"/>
        </w:rPr>
        <w:t>8</w:t>
      </w:r>
      <w:bookmarkStart w:id="1672" w:name="_Toc296346560"/>
      <w:bookmarkStart w:id="1673" w:name="_Toc337558777"/>
      <w:bookmarkStart w:id="1674" w:name="_Toc296503059"/>
      <w:bookmarkStart w:id="1675" w:name="_Toc468936960"/>
      <w:r>
        <w:rPr>
          <w:rFonts w:hint="eastAsia" w:ascii="宋体" w:hAnsi="宋体" w:cs="宋体"/>
          <w:b/>
          <w:bCs/>
          <w:color w:val="auto"/>
          <w:sz w:val="21"/>
          <w:szCs w:val="21"/>
          <w:highlight w:val="none"/>
          <w:lang w:val="en-US" w:eastAsia="zh-CN"/>
        </w:rPr>
        <w:t>.1发包人供应材料与工程设备</w:t>
      </w:r>
      <w:bookmarkEnd w:id="1671"/>
    </w:p>
    <w:bookmarkEnd w:id="1672"/>
    <w:bookmarkEnd w:id="1673"/>
    <w:bookmarkEnd w:id="1674"/>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发包人自行供应材料、工程设备的，应在签订合同时在专用合同条款的附件《发包人供应材料设备一览表》中明确材料、工程设备的品种、规格、型号、数量、单价、质量等级和送达地点。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提前30天通过监理人以书面形式通知发包人供应材料与工程设备进场。承包人按照第7.2.2项〔施工进度计划的修订〕约定修订施工进度计划时，需同时提交经修订后的发包人供应材料与工程设备的进场计划。</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76" w:name="_Toc351203554"/>
      <w:r>
        <w:rPr>
          <w:rFonts w:hint="eastAsia" w:ascii="宋体" w:hAnsi="宋体" w:cs="宋体"/>
          <w:b/>
          <w:bCs/>
          <w:color w:val="auto"/>
          <w:sz w:val="21"/>
          <w:szCs w:val="21"/>
          <w:highlight w:val="none"/>
          <w:lang w:val="en-US" w:eastAsia="zh-CN"/>
        </w:rPr>
        <w:t>8</w:t>
      </w:r>
      <w:bookmarkStart w:id="1677" w:name="_Toc337558778"/>
      <w:bookmarkStart w:id="1678" w:name="_Toc296503060"/>
      <w:bookmarkStart w:id="1679" w:name="_Toc296346561"/>
      <w:r>
        <w:rPr>
          <w:rFonts w:hint="eastAsia" w:ascii="宋体" w:hAnsi="宋体" w:cs="宋体"/>
          <w:b/>
          <w:bCs/>
          <w:color w:val="auto"/>
          <w:sz w:val="21"/>
          <w:szCs w:val="21"/>
          <w:highlight w:val="none"/>
          <w:lang w:val="en-US" w:eastAsia="zh-CN"/>
        </w:rPr>
        <w:t>.2承包人采购材料与工程设备</w:t>
      </w:r>
      <w:bookmarkEnd w:id="1676"/>
    </w:p>
    <w:bookmarkEnd w:id="1677"/>
    <w:bookmarkEnd w:id="1678"/>
    <w:bookmarkEnd w:id="1679"/>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相应责任。</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80" w:name="_Toc351203555"/>
      <w:r>
        <w:rPr>
          <w:rFonts w:hint="eastAsia" w:ascii="宋体" w:hAnsi="宋体" w:cs="宋体"/>
          <w:b/>
          <w:bCs/>
          <w:color w:val="auto"/>
          <w:sz w:val="21"/>
          <w:szCs w:val="21"/>
          <w:highlight w:val="none"/>
          <w:lang w:val="en-US" w:eastAsia="zh-CN"/>
        </w:rPr>
        <w:t>8</w:t>
      </w:r>
      <w:bookmarkStart w:id="1681" w:name="_Toc296503061"/>
      <w:bookmarkStart w:id="1682" w:name="_Toc337558779"/>
      <w:bookmarkStart w:id="1683" w:name="_Toc296346562"/>
      <w:r>
        <w:rPr>
          <w:rFonts w:hint="eastAsia" w:ascii="宋体" w:hAnsi="宋体" w:cs="宋体"/>
          <w:b/>
          <w:bCs/>
          <w:color w:val="auto"/>
          <w:sz w:val="21"/>
          <w:szCs w:val="21"/>
          <w:highlight w:val="none"/>
          <w:lang w:val="en-US" w:eastAsia="zh-CN"/>
        </w:rPr>
        <w:t>.3材料与工程设备的接收与拒收</w:t>
      </w:r>
      <w:bookmarkEnd w:id="1680"/>
    </w:p>
    <w:bookmarkEnd w:id="1681"/>
    <w:bookmarkEnd w:id="1682"/>
    <w:bookmarkEnd w:id="1683"/>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8.3.1 发包人应按《发包人供应材料设备一览表》约定的内容提供材料和工程设备，并向承包人提供产品合格证明及出厂证明，对其质量负责。发包人应提前24小时以书面形式通知承包人、监理人材料和工程设备到货时间，承包人负责材料和工程设备的清点、检验和接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发包人提供的材料和工程设备的规格、数量或质量不符合合同约定的，或因发包人原因导致交货日期延误或交货地点变更等情况的，按照第16.1款〔发包人违约〕约定办理。</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8.3.2 承包人采购的材料和工程设备，应保证产品质量合格，承包人应在材料和工程设备到货前24小时通知监理人检验。承</w:t>
      </w:r>
      <w:bookmarkStart w:id="1684" w:name="_Toc250655469"/>
      <w:r>
        <w:rPr>
          <w:rFonts w:hint="eastAsia" w:ascii="宋体" w:hAnsi="宋体" w:cs="宋体"/>
          <w:color w:val="auto"/>
          <w:kern w:val="0"/>
          <w:szCs w:val="21"/>
          <w:highlight w:val="none"/>
        </w:rPr>
        <w:t>包人进行永久设备、材料的制造和生产的，应符合相关质量标准，并向监理人提交材料的样本以及有关资料，并应在使用该材料或工程设备之前获得监理人同意。</w:t>
      </w:r>
    </w:p>
    <w:bookmarkEnd w:id="1684"/>
    <w:p>
      <w:pPr>
        <w:autoSpaceDE w:val="0"/>
        <w:autoSpaceDN w:val="0"/>
        <w:adjustRightInd w:val="0"/>
        <w:spacing w:line="360" w:lineRule="auto"/>
        <w:ind w:firstLine="315" w:firstLineChars="15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 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85" w:name="_Toc351203556"/>
      <w:r>
        <w:rPr>
          <w:rFonts w:hint="eastAsia" w:ascii="宋体" w:hAnsi="宋体" w:cs="宋体"/>
          <w:b/>
          <w:bCs/>
          <w:color w:val="auto"/>
          <w:sz w:val="21"/>
          <w:szCs w:val="21"/>
          <w:highlight w:val="none"/>
          <w:lang w:val="en-US" w:eastAsia="zh-CN"/>
        </w:rPr>
        <w:t>8</w:t>
      </w:r>
      <w:bookmarkStart w:id="1686" w:name="_Toc296346563"/>
      <w:bookmarkStart w:id="1687" w:name="_Toc296503062"/>
      <w:bookmarkStart w:id="1688" w:name="_Toc337558780"/>
      <w:r>
        <w:rPr>
          <w:rFonts w:hint="eastAsia" w:ascii="宋体" w:hAnsi="宋体" w:cs="宋体"/>
          <w:b/>
          <w:bCs/>
          <w:color w:val="auto"/>
          <w:sz w:val="21"/>
          <w:szCs w:val="21"/>
          <w:highlight w:val="none"/>
          <w:lang w:val="en-US" w:eastAsia="zh-CN"/>
        </w:rPr>
        <w:t>.4材料与工程设备的保管与使用</w:t>
      </w:r>
      <w:bookmarkEnd w:id="1685"/>
    </w:p>
    <w:bookmarkEnd w:id="1686"/>
    <w:bookmarkEnd w:id="1687"/>
    <w:bookmarkEnd w:id="1688"/>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bookmarkStart w:id="1689" w:name="_Toc109149869"/>
      <w:r>
        <w:rPr>
          <w:rFonts w:hint="eastAsia" w:ascii="宋体" w:hAnsi="宋体" w:cs="宋体"/>
          <w:color w:val="auto"/>
          <w:kern w:val="0"/>
          <w:szCs w:val="21"/>
          <w:highlight w:val="none"/>
        </w:rPr>
        <w:t>8.4.1 发包人供应</w:t>
      </w:r>
      <w:r>
        <w:rPr>
          <w:rFonts w:hint="eastAsia" w:ascii="宋体" w:hAnsi="宋体" w:cs="宋体"/>
          <w:color w:val="auto"/>
          <w:szCs w:val="21"/>
          <w:highlight w:val="none"/>
        </w:rPr>
        <w:t>材料与</w:t>
      </w:r>
      <w:r>
        <w:rPr>
          <w:rFonts w:hint="eastAsia" w:ascii="宋体" w:hAnsi="宋体" w:cs="宋体"/>
          <w:color w:val="auto"/>
          <w:kern w:val="0"/>
          <w:szCs w:val="21"/>
          <w:highlight w:val="none"/>
        </w:rPr>
        <w:t>工程</w:t>
      </w:r>
      <w:r>
        <w:rPr>
          <w:rFonts w:hint="eastAsia" w:ascii="宋体" w:hAnsi="宋体" w:cs="宋体"/>
          <w:color w:val="auto"/>
          <w:szCs w:val="21"/>
          <w:highlight w:val="none"/>
        </w:rPr>
        <w:t>设备的保管与使用</w:t>
      </w:r>
      <w:bookmarkEnd w:id="1689"/>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发包人供应的材料和工程设备使用前，由承包人负责检验，检验费用由发包人承担，不合格的不得使用。</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bookmarkStart w:id="1690" w:name="_Toc109149870"/>
      <w:r>
        <w:rPr>
          <w:rFonts w:hint="eastAsia" w:ascii="宋体" w:hAnsi="宋体" w:cs="宋体"/>
          <w:color w:val="auto"/>
          <w:kern w:val="0"/>
          <w:szCs w:val="21"/>
          <w:highlight w:val="none"/>
        </w:rPr>
        <w:t>8.4.2 承包人采购</w:t>
      </w:r>
      <w:r>
        <w:rPr>
          <w:rFonts w:hint="eastAsia" w:ascii="宋体" w:hAnsi="宋体" w:cs="宋体"/>
          <w:color w:val="auto"/>
          <w:szCs w:val="21"/>
          <w:highlight w:val="none"/>
        </w:rPr>
        <w:t>材料与</w:t>
      </w:r>
      <w:r>
        <w:rPr>
          <w:rFonts w:hint="eastAsia" w:ascii="宋体" w:hAnsi="宋体" w:cs="宋体"/>
          <w:color w:val="auto"/>
          <w:kern w:val="0"/>
          <w:szCs w:val="21"/>
          <w:highlight w:val="none"/>
        </w:rPr>
        <w:t>工程</w:t>
      </w:r>
      <w:r>
        <w:rPr>
          <w:rFonts w:hint="eastAsia" w:ascii="宋体" w:hAnsi="宋体" w:cs="宋体"/>
          <w:color w:val="auto"/>
          <w:szCs w:val="21"/>
          <w:highlight w:val="none"/>
        </w:rPr>
        <w:t>设备的保管与使用</w:t>
      </w:r>
      <w:bookmarkEnd w:id="1690"/>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发包人或监理人发现承包人使用不符合设计或有关标准要求的材料和工程设备时，有权要求承包人进行修复、拆除或重新采购，由此增加的费用和（或）延误的工期，由承包人承担。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91" w:name="_Toc351203557"/>
      <w:r>
        <w:rPr>
          <w:rFonts w:hint="eastAsia" w:ascii="宋体" w:hAnsi="宋体" w:cs="宋体"/>
          <w:b/>
          <w:bCs/>
          <w:color w:val="auto"/>
          <w:sz w:val="21"/>
          <w:szCs w:val="21"/>
          <w:highlight w:val="none"/>
          <w:lang w:val="en-US" w:eastAsia="zh-CN"/>
        </w:rPr>
        <w:t>8.5禁止使用不合格的材料和工程设备</w:t>
      </w:r>
      <w:bookmarkEnd w:id="1691"/>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8.5.1 监理人有权拒绝承包人提供的不合格材料或工程设备，并要求承包人立即进行更换。监理人应在更换后再次进行检查和检验，由此增加的费用和（或）延误的工期由承包人承担。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8.5.2 监理人发现承包人使用了不合格的材料和工程设备，承包人应按照监理人的指示立即改正，并禁止在工程中继续使用不合格的材料和工程设备。</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8.5.3 发包人提供的材料或工程设备不符合合同要求的，承包人有权拒绝，并可要求发包人更换，由此增加的费用和（或）延误的工期由发包人承担，并支付承包人合理的利润。</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92" w:name="_Toc351203558"/>
      <w:r>
        <w:rPr>
          <w:rFonts w:hint="eastAsia" w:ascii="宋体" w:hAnsi="宋体" w:cs="宋体"/>
          <w:b/>
          <w:bCs/>
          <w:color w:val="auto"/>
          <w:sz w:val="21"/>
          <w:szCs w:val="21"/>
          <w:highlight w:val="none"/>
          <w:lang w:val="en-US" w:eastAsia="zh-CN"/>
        </w:rPr>
        <w:t>8.6 样品</w:t>
      </w:r>
      <w:bookmarkEnd w:id="1692"/>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8.6.1</w:t>
      </w:r>
      <w:r>
        <w:rPr>
          <w:rFonts w:hint="eastAsia" w:ascii="宋体" w:hAnsi="宋体" w:cs="宋体"/>
          <w:color w:val="auto"/>
          <w:kern w:val="0"/>
          <w:szCs w:val="21"/>
          <w:highlight w:val="none"/>
        </w:rPr>
        <w:tab/>
      </w:r>
      <w:r>
        <w:rPr>
          <w:rFonts w:hint="eastAsia" w:ascii="宋体" w:hAnsi="宋体" w:cs="宋体"/>
          <w:color w:val="auto"/>
          <w:kern w:val="0"/>
          <w:szCs w:val="21"/>
          <w:highlight w:val="none"/>
        </w:rPr>
        <w:t>样品的报送与封存</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需要承包人报送样品的材料或工程设备，样品的种类、名称、规格、数量等要求均应在专用合同条款中约定。样品的报送程序如下：</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应在计划采购前28天向监理人报送样品。承包人报送的样品均应来自供应材料的实际生产地，且提供的样品的规格、数量足以表明材料或工程设备的质量、型号、颜色、表面处理、质地、误差和其他要求的特征。</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每次报送样品时应随附申报单，申报单应载明报送样品的相关数据和资料，并标明每件样品对应的图纸号，预留监理人批复意见栏。监理人应在收到承包人报送的样品后7天向承包人回复经发包人签认的样品审批意见。</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（3）经发包人和监理人审批确认的样品应按约定的方法封样，封存的样品作为检验工程相关部分的标准之一。承包人在施工过程中不得使用与样品不符的材料或工程设备。</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发包人和监理人对样品的审批确认仅为确认相关材料或工程设备的特征或用途，不得被理解为对合同的修改或改变，也并不减轻或免除承包人任何的责任和义务。如果封存的样品修改或改变了合同约定，合同当事人应当以书面协议予以确认。</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8.6.2 样品的保管</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经批准的样品应由监理人负责封存于现场，承包人应在现场为保存样品提供适当和固定的场所并保持适当和良好的存储环境条件。</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93" w:name="_Toc351203559"/>
      <w:r>
        <w:rPr>
          <w:rFonts w:hint="eastAsia" w:ascii="宋体" w:hAnsi="宋体" w:cs="宋体"/>
          <w:b/>
          <w:bCs/>
          <w:color w:val="auto"/>
          <w:sz w:val="21"/>
          <w:szCs w:val="21"/>
          <w:highlight w:val="none"/>
          <w:lang w:val="en-US" w:eastAsia="zh-CN"/>
        </w:rPr>
        <w:t>8.7材料与工程设备的替代</w:t>
      </w:r>
      <w:bookmarkEnd w:id="1693"/>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8.7.1 出现下列情况需要使用替代材料和工程设备的，承包人应按照第8.7.2项约定的程序执行：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（1）基准日期后生效的法律规定禁止使用的；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（2）发包人要求使用替代品的；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（3）因其他原因必须使用替代品的。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8.7.2 承包人应在使用替代材料和工程设备28天前书面通知监理人，并附下列文件：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（1）被替代的材料和工程设备的名称、数量、规格、型号、品牌、性能、价格及其他相关资料；</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（2）替代品的名称、数量、规格、型号、品牌、性能、价格及其他相关资料；</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（3）替代品与被替代产品之间的差异以及使用替代品可能对工程产生的影响；</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（4）替代品与被替代产品的价格差异；</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（5）使用替代品的理由和原因说明；</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（6）监理人要求的其他文件。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监理人应在收到通知后14天内向承包人发出经发包人签认的书面指示；监理人逾期发出书面指示的，视为发包人和监理人同意使用替代品。</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8.7.3 发包人认可使用替代材料和工程设备的，替代材料和工程设备的价格，按照已标价工程量清单或预算书相同项目的价格认定；无相同项目的，参考相似项目价格认定；既无相同项目也无相似项目的，按照合理的成本与利润构成的原则，由合同当事人按照第4.4款〔商定或确定〕确定价格。</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94" w:name="_Toc351203560"/>
      <w:r>
        <w:rPr>
          <w:rFonts w:hint="eastAsia" w:ascii="宋体" w:hAnsi="宋体" w:cs="宋体"/>
          <w:b/>
          <w:bCs/>
          <w:color w:val="auto"/>
          <w:sz w:val="21"/>
          <w:szCs w:val="21"/>
          <w:highlight w:val="none"/>
          <w:lang w:val="en-US" w:eastAsia="zh-CN"/>
        </w:rPr>
        <w:t>8.8施工设备和临时设施</w:t>
      </w:r>
      <w:bookmarkEnd w:id="1694"/>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bookmarkStart w:id="1695" w:name="_Toc109149871"/>
      <w:r>
        <w:rPr>
          <w:rFonts w:hint="eastAsia" w:ascii="宋体" w:hAnsi="宋体" w:cs="宋体"/>
          <w:color w:val="auto"/>
          <w:kern w:val="0"/>
          <w:szCs w:val="21"/>
          <w:highlight w:val="none"/>
        </w:rPr>
        <w:t>8.8.1 承包人提供的施工设备和临时设施</w:t>
      </w:r>
      <w:bookmarkEnd w:id="1695"/>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承包人应按合同进度计划的要求，及时配置施工设备和修建临时设施。进入施工场地的承包人设备需经监理人核查后才能投入使用。承包人更换合同约定的承包人设备的，应报监理人批准。</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除专用合同条款另有约定外，承包人应自行承担修建临时设施的费用，需要临时占地的，应由发包人办理申请手续并承担相应费用。</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8.8.2发包人提供的施工设备和临时设施</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发包人提供的施工设备或临时设施在专用合同条款中约定。</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8.8.3要求承包人增加或更换施工设备</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承包人使用的施工设备不能满足合同进度计划和（或）质量要求时，监理人有权要求承包人增加或更换施工设备，承包人应及时增加或更换，由此增加的费用和（或）延误的工期由承包人承担。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696" w:name="_Toc351203561"/>
      <w:r>
        <w:rPr>
          <w:rFonts w:hint="eastAsia" w:ascii="宋体" w:hAnsi="宋体" w:cs="宋体"/>
          <w:b/>
          <w:bCs/>
          <w:color w:val="auto"/>
          <w:sz w:val="21"/>
          <w:szCs w:val="21"/>
          <w:highlight w:val="none"/>
          <w:lang w:val="en-US" w:eastAsia="zh-CN"/>
        </w:rPr>
        <w:t>8</w:t>
      </w:r>
      <w:bookmarkStart w:id="1697" w:name="_Toc337558781"/>
      <w:bookmarkStart w:id="1698" w:name="_Toc296503063"/>
      <w:bookmarkStart w:id="1699" w:name="_Toc296346564"/>
      <w:r>
        <w:rPr>
          <w:rFonts w:hint="eastAsia" w:ascii="宋体" w:hAnsi="宋体" w:cs="宋体"/>
          <w:b/>
          <w:bCs/>
          <w:color w:val="auto"/>
          <w:sz w:val="21"/>
          <w:szCs w:val="21"/>
          <w:highlight w:val="none"/>
          <w:lang w:val="en-US" w:eastAsia="zh-CN"/>
        </w:rPr>
        <w:t>.9材料与设备专用</w:t>
      </w:r>
      <w:bookmarkEnd w:id="1696"/>
      <w:r>
        <w:rPr>
          <w:rFonts w:hint="eastAsia" w:ascii="宋体" w:hAnsi="宋体" w:cs="宋体"/>
          <w:b/>
          <w:bCs/>
          <w:color w:val="auto"/>
          <w:sz w:val="21"/>
          <w:szCs w:val="21"/>
          <w:highlight w:val="none"/>
          <w:lang w:val="en-US" w:eastAsia="zh-CN"/>
        </w:rPr>
        <w:t>要求</w:t>
      </w:r>
    </w:p>
    <w:bookmarkEnd w:id="1697"/>
    <w:bookmarkEnd w:id="1698"/>
    <w:bookmarkEnd w:id="1699"/>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承包人运入施工现场的材料、工程设备、施工设备以及在施工场地建设的临时设施，包括备品备件、安装工具与资料，必须专用于工程。未经发包人批准，承包人不得运出施工现场或挪作他用；</w:t>
      </w:r>
      <w:bookmarkEnd w:id="1675"/>
      <w:r>
        <w:rPr>
          <w:rFonts w:hint="eastAsia" w:ascii="宋体" w:hAnsi="宋体" w:cs="宋体"/>
          <w:color w:val="auto"/>
          <w:kern w:val="0"/>
          <w:szCs w:val="21"/>
          <w:highlight w:val="none"/>
        </w:rPr>
        <w:t>经发包人批准，承包人可以根据施工进度计划撤走闲置的施工设备和其他物品。</w:t>
      </w:r>
    </w:p>
    <w:p>
      <w:pPr>
        <w:pStyle w:val="5"/>
        <w:spacing w:before="120" w:after="120" w:line="360" w:lineRule="auto"/>
        <w:outlineLvl w:val="3"/>
        <w:rPr>
          <w:rFonts w:hint="eastAsia" w:ascii="宋体" w:hAnsi="宋体" w:eastAsia="宋体" w:cs="宋体"/>
          <w:color w:val="auto"/>
          <w:sz w:val="24"/>
          <w:szCs w:val="24"/>
          <w:highlight w:val="none"/>
        </w:rPr>
      </w:pPr>
      <w:bookmarkStart w:id="1700" w:name="_Toc351203562"/>
      <w:r>
        <w:rPr>
          <w:rFonts w:hint="eastAsia" w:ascii="宋体" w:hAnsi="宋体" w:eastAsia="宋体" w:cs="宋体"/>
          <w:color w:val="auto"/>
          <w:sz w:val="24"/>
          <w:szCs w:val="24"/>
          <w:highlight w:val="none"/>
        </w:rPr>
        <w:t>9</w:t>
      </w:r>
      <w:bookmarkStart w:id="1701" w:name="_Toc337558782"/>
      <w:bookmarkStart w:id="1702" w:name="_Toc296503083"/>
      <w:bookmarkStart w:id="1703" w:name="_Toc296346584"/>
      <w:r>
        <w:rPr>
          <w:rFonts w:hint="eastAsia" w:ascii="宋体" w:hAnsi="宋体" w:eastAsia="宋体" w:cs="宋体"/>
          <w:color w:val="auto"/>
          <w:sz w:val="24"/>
          <w:szCs w:val="24"/>
          <w:highlight w:val="none"/>
        </w:rPr>
        <w:t>. 试验与检验</w:t>
      </w:r>
      <w:bookmarkEnd w:id="1700"/>
    </w:p>
    <w:bookmarkEnd w:id="1701"/>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04" w:name="_Toc351203563"/>
      <w:r>
        <w:rPr>
          <w:rFonts w:hint="eastAsia" w:ascii="宋体" w:hAnsi="宋体" w:cs="宋体"/>
          <w:b/>
          <w:bCs/>
          <w:color w:val="auto"/>
          <w:sz w:val="21"/>
          <w:szCs w:val="21"/>
          <w:highlight w:val="none"/>
          <w:lang w:val="en-US" w:eastAsia="zh-CN"/>
        </w:rPr>
        <w:t>9</w:t>
      </w:r>
      <w:bookmarkStart w:id="1705" w:name="_Toc337558783"/>
      <w:r>
        <w:rPr>
          <w:rFonts w:hint="eastAsia" w:ascii="宋体" w:hAnsi="宋体" w:cs="宋体"/>
          <w:b/>
          <w:bCs/>
          <w:color w:val="auto"/>
          <w:sz w:val="21"/>
          <w:szCs w:val="21"/>
          <w:highlight w:val="none"/>
          <w:lang w:val="en-US" w:eastAsia="zh-CN"/>
        </w:rPr>
        <w:t>.1试验设备与试验人员</w:t>
      </w:r>
      <w:bookmarkEnd w:id="1704"/>
    </w:p>
    <w:bookmarkEnd w:id="1705"/>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9.1.1 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9.1.2 承包人应按专用合同条款的约定提供试验设备、取样装置、试验场所和试验条件，并向监理人提交相应进场计划表。</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承包人配置的试验设备要符合相应试验规程的要求并经过具有资质的检测单位检测，且在正式使用该试验设备前，需要经过监理人与承包人共同校定。</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9.1.3 承包人应向监理人提交试验人员的名单及其岗位、资格等证明资料，试验人员必须能够熟练进行相应的检测试验，承包人对试验人员的试验程序和试验结果的正确性负责。</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06" w:name="_Toc351203564"/>
      <w:r>
        <w:rPr>
          <w:rFonts w:hint="eastAsia" w:ascii="宋体" w:hAnsi="宋体" w:cs="宋体"/>
          <w:b/>
          <w:bCs/>
          <w:color w:val="auto"/>
          <w:sz w:val="21"/>
          <w:szCs w:val="21"/>
          <w:highlight w:val="none"/>
          <w:lang w:val="en-US" w:eastAsia="zh-CN"/>
        </w:rPr>
        <w:t>9</w:t>
      </w:r>
      <w:bookmarkStart w:id="1707" w:name="_Toc337558784"/>
      <w:r>
        <w:rPr>
          <w:rFonts w:hint="eastAsia" w:ascii="宋体" w:hAnsi="宋体" w:cs="宋体"/>
          <w:b/>
          <w:bCs/>
          <w:color w:val="auto"/>
          <w:sz w:val="21"/>
          <w:szCs w:val="21"/>
          <w:highlight w:val="none"/>
          <w:lang w:val="en-US" w:eastAsia="zh-CN"/>
        </w:rPr>
        <w:t>.2取样</w:t>
      </w:r>
      <w:bookmarkEnd w:id="1706"/>
    </w:p>
    <w:bookmarkEnd w:id="1707"/>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试验属于自检性质的，承包人可以单独取样。试验属于监理人抽检性质的，可由监理人取样，也可由承包人的试验人员在监理人的监督下取样。</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08" w:name="_Toc351203565"/>
      <w:r>
        <w:rPr>
          <w:rFonts w:hint="eastAsia" w:ascii="宋体" w:hAnsi="宋体" w:cs="宋体"/>
          <w:b/>
          <w:bCs/>
          <w:color w:val="auto"/>
          <w:sz w:val="21"/>
          <w:szCs w:val="21"/>
          <w:highlight w:val="none"/>
          <w:lang w:val="en-US" w:eastAsia="zh-CN"/>
        </w:rPr>
        <w:t>9</w:t>
      </w:r>
      <w:bookmarkStart w:id="1709" w:name="_Toc337558785"/>
      <w:r>
        <w:rPr>
          <w:rFonts w:hint="eastAsia" w:ascii="宋体" w:hAnsi="宋体" w:cs="宋体"/>
          <w:b/>
          <w:bCs/>
          <w:color w:val="auto"/>
          <w:sz w:val="21"/>
          <w:szCs w:val="21"/>
          <w:highlight w:val="none"/>
          <w:lang w:val="en-US" w:eastAsia="zh-CN"/>
        </w:rPr>
        <w:t>.3材料、工程设备和工程的试验和检验</w:t>
      </w:r>
      <w:bookmarkEnd w:id="1708"/>
    </w:p>
    <w:bookmarkEnd w:id="1709"/>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9.3.1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9.3.2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人，监理人应承认该试验结果。</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9.3.3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10" w:name="_Toc351203566"/>
      <w:r>
        <w:rPr>
          <w:rFonts w:hint="eastAsia" w:ascii="宋体" w:hAnsi="宋体" w:cs="宋体"/>
          <w:b/>
          <w:bCs/>
          <w:color w:val="auto"/>
          <w:sz w:val="21"/>
          <w:szCs w:val="21"/>
          <w:highlight w:val="none"/>
          <w:lang w:val="en-US" w:eastAsia="zh-CN"/>
        </w:rPr>
        <w:t>9</w:t>
      </w:r>
      <w:bookmarkStart w:id="1711" w:name="_Toc337558786"/>
      <w:r>
        <w:rPr>
          <w:rFonts w:hint="eastAsia" w:ascii="宋体" w:hAnsi="宋体" w:cs="宋体"/>
          <w:b/>
          <w:bCs/>
          <w:color w:val="auto"/>
          <w:sz w:val="21"/>
          <w:szCs w:val="21"/>
          <w:highlight w:val="none"/>
          <w:lang w:val="en-US" w:eastAsia="zh-CN"/>
        </w:rPr>
        <w:t>.4现场工艺试验</w:t>
      </w:r>
      <w:bookmarkEnd w:id="1710"/>
    </w:p>
    <w:bookmarkEnd w:id="1711"/>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承包人应按合同约定或监理人指示进行现场工艺试验。对大型的现场工艺试验，监理人认为必要时，承包人应根据监理人提出的工艺试验要求，编制工艺试验措施计划，报送监理人审查。</w:t>
      </w:r>
    </w:p>
    <w:p>
      <w:pPr>
        <w:pStyle w:val="5"/>
        <w:spacing w:before="120" w:after="120" w:line="360" w:lineRule="auto"/>
        <w:outlineLvl w:val="3"/>
        <w:rPr>
          <w:rFonts w:hint="eastAsia" w:ascii="宋体" w:hAnsi="宋体" w:eastAsia="宋体" w:cs="宋体"/>
          <w:color w:val="auto"/>
          <w:sz w:val="24"/>
          <w:szCs w:val="24"/>
          <w:highlight w:val="none"/>
        </w:rPr>
      </w:pPr>
      <w:bookmarkStart w:id="1712" w:name="_Toc351203567"/>
      <w:r>
        <w:rPr>
          <w:rFonts w:hint="eastAsia" w:ascii="宋体" w:hAnsi="宋体" w:eastAsia="宋体" w:cs="宋体"/>
          <w:color w:val="auto"/>
          <w:sz w:val="24"/>
          <w:szCs w:val="24"/>
          <w:highlight w:val="none"/>
        </w:rPr>
        <w:t>1</w:t>
      </w:r>
      <w:bookmarkStart w:id="1713" w:name="_Toc337558787"/>
      <w:r>
        <w:rPr>
          <w:rFonts w:hint="eastAsia" w:ascii="宋体" w:hAnsi="宋体" w:eastAsia="宋体" w:cs="宋体"/>
          <w:color w:val="auto"/>
          <w:sz w:val="24"/>
          <w:szCs w:val="24"/>
          <w:highlight w:val="none"/>
        </w:rPr>
        <w:t>0. 变更</w:t>
      </w:r>
      <w:bookmarkEnd w:id="1702"/>
      <w:bookmarkEnd w:id="1703"/>
      <w:bookmarkEnd w:id="1712"/>
    </w:p>
    <w:bookmarkEnd w:id="1713"/>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14" w:name="_Toc351203568"/>
      <w:r>
        <w:rPr>
          <w:rFonts w:hint="eastAsia" w:ascii="宋体" w:hAnsi="宋体" w:cs="宋体"/>
          <w:b/>
          <w:bCs/>
          <w:color w:val="auto"/>
          <w:sz w:val="21"/>
          <w:szCs w:val="21"/>
          <w:highlight w:val="none"/>
          <w:lang w:val="en-US" w:eastAsia="zh-CN"/>
        </w:rPr>
        <w:t>1</w:t>
      </w:r>
      <w:bookmarkStart w:id="1715" w:name="_Toc296346585"/>
      <w:bookmarkStart w:id="1716" w:name="_Toc296503084"/>
      <w:bookmarkStart w:id="1717" w:name="_Toc337558788"/>
      <w:r>
        <w:rPr>
          <w:rFonts w:hint="eastAsia" w:ascii="宋体" w:hAnsi="宋体" w:cs="宋体"/>
          <w:b/>
          <w:bCs/>
          <w:color w:val="auto"/>
          <w:sz w:val="21"/>
          <w:szCs w:val="21"/>
          <w:highlight w:val="none"/>
          <w:lang w:val="en-US" w:eastAsia="zh-CN"/>
        </w:rPr>
        <w:t>0.1变更的范围</w:t>
      </w:r>
      <w:bookmarkEnd w:id="1714"/>
    </w:p>
    <w:bookmarkEnd w:id="1715"/>
    <w:bookmarkEnd w:id="1716"/>
    <w:bookmarkEnd w:id="1717"/>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除专用合同条款另有约定外，合同履行过程中发生以下情形的，应按照本条约定进行变更：</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（1）增加或减少合同中任何工作，或追加额外的工作；</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（2）取消合同中任何工作，但转由他人实施的工作除外；</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（3）改变合同中任何工作的质量标准或其他特性；</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（4）改变工程的基线、标高、位置和尺寸；</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（5）改变工程的时间安排或实施顺序。</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18" w:name="_Toc351203569"/>
      <w:r>
        <w:rPr>
          <w:rFonts w:hint="eastAsia" w:ascii="宋体" w:hAnsi="宋体" w:cs="宋体"/>
          <w:b/>
          <w:bCs/>
          <w:color w:val="auto"/>
          <w:sz w:val="21"/>
          <w:szCs w:val="21"/>
          <w:highlight w:val="none"/>
          <w:lang w:val="en-US" w:eastAsia="zh-CN"/>
        </w:rPr>
        <w:t>1</w:t>
      </w:r>
      <w:bookmarkStart w:id="1719" w:name="_Toc296503085"/>
      <w:bookmarkStart w:id="1720" w:name="_Toc296346586"/>
      <w:bookmarkStart w:id="1721" w:name="_Toc337558789"/>
      <w:r>
        <w:rPr>
          <w:rFonts w:hint="eastAsia" w:ascii="宋体" w:hAnsi="宋体" w:cs="宋体"/>
          <w:b/>
          <w:bCs/>
          <w:color w:val="auto"/>
          <w:sz w:val="21"/>
          <w:szCs w:val="21"/>
          <w:highlight w:val="none"/>
          <w:lang w:val="en-US" w:eastAsia="zh-CN"/>
        </w:rPr>
        <w:t>0.2变更权</w:t>
      </w:r>
      <w:bookmarkEnd w:id="1718"/>
    </w:p>
    <w:bookmarkEnd w:id="1719"/>
    <w:bookmarkEnd w:id="1720"/>
    <w:bookmarkEnd w:id="1721"/>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涉及设计变更的，应由设计人提供变更后的图纸和说明。如变更超过原设计标准或批准的建设规模时，发包人应及时办理规划、设计变更等审批手续。</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22" w:name="_Toc351203570"/>
      <w:r>
        <w:rPr>
          <w:rFonts w:hint="eastAsia" w:ascii="宋体" w:hAnsi="宋体" w:cs="宋体"/>
          <w:b/>
          <w:bCs/>
          <w:color w:val="auto"/>
          <w:sz w:val="21"/>
          <w:szCs w:val="21"/>
          <w:highlight w:val="none"/>
          <w:lang w:val="en-US" w:eastAsia="zh-CN"/>
        </w:rPr>
        <w:t>1</w:t>
      </w:r>
      <w:bookmarkStart w:id="1723" w:name="_Toc337558790"/>
      <w:bookmarkStart w:id="1724" w:name="_Toc296503086"/>
      <w:bookmarkStart w:id="1725" w:name="_Toc296346587"/>
      <w:r>
        <w:rPr>
          <w:rFonts w:hint="eastAsia" w:ascii="宋体" w:hAnsi="宋体" w:cs="宋体"/>
          <w:b/>
          <w:bCs/>
          <w:color w:val="auto"/>
          <w:sz w:val="21"/>
          <w:szCs w:val="21"/>
          <w:highlight w:val="none"/>
          <w:lang w:val="en-US" w:eastAsia="zh-CN"/>
        </w:rPr>
        <w:t>0.3变更程序</w:t>
      </w:r>
      <w:bookmarkEnd w:id="1722"/>
    </w:p>
    <w:bookmarkEnd w:id="1723"/>
    <w:bookmarkEnd w:id="1724"/>
    <w:bookmarkEnd w:id="1725"/>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10</w:t>
      </w:r>
      <w:r>
        <w:rPr>
          <w:rFonts w:hint="eastAsia" w:ascii="宋体" w:hAnsi="宋体" w:cs="宋体"/>
          <w:color w:val="auto"/>
          <w:kern w:val="0"/>
          <w:szCs w:val="21"/>
          <w:highlight w:val="none"/>
        </w:rPr>
        <w:t>.3.1 发包人提出变更</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发包人提出变更的，应通过监理人向承包人发出变更指示，变更指示应说明计划变更的工程范围和变更的内容。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10</w:t>
      </w:r>
      <w:r>
        <w:rPr>
          <w:rFonts w:hint="eastAsia" w:ascii="宋体" w:hAnsi="宋体" w:cs="宋体"/>
          <w:color w:val="auto"/>
          <w:kern w:val="0"/>
          <w:szCs w:val="21"/>
          <w:highlight w:val="none"/>
        </w:rPr>
        <w:t>.3.2 监理人提出变更建议</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10.3.3 变更执行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收到监理人下达的变更指示后，认为不能执行，应立即提出不能执行该变更指示的理由。承包人认为可以执行变更的，应当书面说明实施该变更指示对合同价格和工期的影响，且合同当事人应当按照第10.4款〔变更估价〕约定确定变更估价。</w:t>
      </w:r>
    </w:p>
    <w:p>
      <w:pPr>
        <w:spacing w:before="120" w:after="120" w:line="360" w:lineRule="auto"/>
        <w:ind w:firstLine="422" w:firstLineChars="200"/>
        <w:outlineLvl w:val="9"/>
        <w:rPr>
          <w:rFonts w:ascii="宋体" w:hAnsi="宋体" w:cs="宋体"/>
          <w:color w:val="auto"/>
          <w:sz w:val="21"/>
          <w:szCs w:val="21"/>
          <w:highlight w:val="none"/>
        </w:rPr>
      </w:pPr>
      <w:bookmarkStart w:id="1726" w:name="_Toc351203571"/>
      <w:r>
        <w:rPr>
          <w:rFonts w:hint="eastAsia" w:ascii="宋体" w:hAnsi="宋体" w:cs="宋体"/>
          <w:b/>
          <w:bCs/>
          <w:color w:val="auto"/>
          <w:sz w:val="21"/>
          <w:szCs w:val="21"/>
          <w:highlight w:val="none"/>
          <w:lang w:val="en-US" w:eastAsia="zh-CN"/>
        </w:rPr>
        <w:t>1</w:t>
      </w:r>
      <w:bookmarkStart w:id="1727" w:name="_Toc296346588"/>
      <w:bookmarkStart w:id="1728" w:name="_Toc296503087"/>
      <w:bookmarkStart w:id="1729" w:name="_Toc337558791"/>
      <w:r>
        <w:rPr>
          <w:rFonts w:hint="eastAsia" w:ascii="宋体" w:hAnsi="宋体" w:cs="宋体"/>
          <w:b/>
          <w:bCs/>
          <w:color w:val="auto"/>
          <w:sz w:val="21"/>
          <w:szCs w:val="21"/>
          <w:highlight w:val="none"/>
          <w:lang w:val="en-US" w:eastAsia="zh-CN"/>
        </w:rPr>
        <w:t>0.4变更估价</w:t>
      </w:r>
      <w:bookmarkEnd w:id="1726"/>
    </w:p>
    <w:bookmarkEnd w:id="1727"/>
    <w:bookmarkEnd w:id="1728"/>
    <w:bookmarkEnd w:id="1729"/>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10.4.1 变更估价原则</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除专用合同条款另有约定外，变更估价按照本款约定处理：</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（1）已标价工程量清单或预算书有相同项目的，按照相同项目单价认定；</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（2）已标价工程量清单或预算书中无相同项目，但有类似项目的，参照类似项目的单价认定；</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变更导致实际完成的变更工程量与已标价工程量清单或预算书中列明的该项目工程量的变化幅度超过15%的，或已标价工程量清单或预算书中无相同项目及类似项目单价的，按照合理的成本与利润构成的原则，由合同当事人按照第4.4款〔商定或确定〕确定变更工作的单价。</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10.4.2 变更估价程序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在收到变更指示后14天内，向监理人提交变更估价申请。监理人应在收到承包人提交的变更估价申请后7天内审查完毕并报送发包人，监理人对变更估价申请有异议，通知承包人修改后重新提交。发包人应在承包人提交变更估价申请后14天内审批完毕。发包人逾期未完成审批或未提出异议的，视为认可承包人提交的变更估价申请。</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因变更引起的价格调整应计入最近一期的进度款中支付。</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30" w:name="_Toc351203572"/>
      <w:r>
        <w:rPr>
          <w:rFonts w:hint="eastAsia" w:ascii="宋体" w:hAnsi="宋体" w:cs="宋体"/>
          <w:b/>
          <w:bCs/>
          <w:color w:val="auto"/>
          <w:sz w:val="21"/>
          <w:szCs w:val="21"/>
          <w:highlight w:val="none"/>
          <w:lang w:val="en-US" w:eastAsia="zh-CN"/>
        </w:rPr>
        <w:t>1</w:t>
      </w:r>
      <w:bookmarkStart w:id="1731" w:name="_Toc296503094"/>
      <w:bookmarkStart w:id="1732" w:name="_Toc296346595"/>
      <w:bookmarkStart w:id="1733" w:name="_Toc337558792"/>
      <w:r>
        <w:rPr>
          <w:rFonts w:hint="eastAsia" w:ascii="宋体" w:hAnsi="宋体" w:cs="宋体"/>
          <w:b/>
          <w:bCs/>
          <w:color w:val="auto"/>
          <w:sz w:val="21"/>
          <w:szCs w:val="21"/>
          <w:highlight w:val="none"/>
          <w:lang w:val="en-US" w:eastAsia="zh-CN"/>
        </w:rPr>
        <w:t>0.5承包人的合理化建议</w:t>
      </w:r>
      <w:bookmarkEnd w:id="1730"/>
    </w:p>
    <w:bookmarkEnd w:id="1731"/>
    <w:bookmarkEnd w:id="1732"/>
    <w:bookmarkEnd w:id="1733"/>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承包人提出合理化建议的，应向监理人提交合理化建议说明，说明建议的内容和理由，以及实施该建议对合同价格和工期的影响。</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监理人应在收到承包人提交的合理化建议后7天内审查完毕并报送发包人，发现其中存在技术上的缺陷，应通知承包人修改。发包人应在收到监理人报送的合理化建议后7天内审批完毕。合理化建议经发包人批准的，监理人应及时发出变更指示，由此引起的合同价格调整按照第10.4款〔变更估价〕约定执行。发包人不同意变更的，监理人应书面通知承包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合理化建议降低了合同价格或者提高了工程经济效益的，发包人可对承包人给予奖励，奖励的方法和金额在专用合同条款中约定。</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34" w:name="_Toc351203573"/>
      <w:r>
        <w:rPr>
          <w:rFonts w:hint="eastAsia" w:ascii="宋体" w:hAnsi="宋体" w:cs="宋体"/>
          <w:b/>
          <w:bCs/>
          <w:color w:val="auto"/>
          <w:sz w:val="21"/>
          <w:szCs w:val="21"/>
          <w:highlight w:val="none"/>
          <w:lang w:val="en-US" w:eastAsia="zh-CN"/>
        </w:rPr>
        <w:t>1</w:t>
      </w:r>
      <w:bookmarkStart w:id="1735" w:name="_Toc337558793"/>
      <w:r>
        <w:rPr>
          <w:rFonts w:hint="eastAsia" w:ascii="宋体" w:hAnsi="宋体" w:cs="宋体"/>
          <w:b/>
          <w:bCs/>
          <w:color w:val="auto"/>
          <w:sz w:val="21"/>
          <w:szCs w:val="21"/>
          <w:highlight w:val="none"/>
          <w:lang w:val="en-US" w:eastAsia="zh-CN"/>
        </w:rPr>
        <w:t>0.6变更引起的工期调整</w:t>
      </w:r>
      <w:bookmarkEnd w:id="1734"/>
      <w:bookmarkEnd w:id="1735"/>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因变更引起工期变化的，合同当事人均可要求调整合同工期，由合同当事人按照第4.4款〔商定或确定〕并参考工程所在地的工期定额标准确定增减工期天数。</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36" w:name="_Toc351203574"/>
      <w:r>
        <w:rPr>
          <w:rFonts w:hint="eastAsia" w:ascii="宋体" w:hAnsi="宋体" w:cs="宋体"/>
          <w:b/>
          <w:bCs/>
          <w:color w:val="auto"/>
          <w:sz w:val="21"/>
          <w:szCs w:val="21"/>
          <w:highlight w:val="none"/>
          <w:lang w:val="en-US" w:eastAsia="zh-CN"/>
        </w:rPr>
        <w:t>10.7暂估价</w:t>
      </w:r>
      <w:bookmarkEnd w:id="1736"/>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暂估价专业分包工程、服务、材料和工程设备的明细由合同当事人在专用合同条款中约定。</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10.7.1</w:t>
      </w:r>
      <w:r>
        <w:rPr>
          <w:rFonts w:hint="eastAsia" w:ascii="宋体" w:hAnsi="宋体" w:cs="宋体"/>
          <w:color w:val="auto"/>
          <w:kern w:val="0"/>
          <w:szCs w:val="21"/>
          <w:highlight w:val="none"/>
        </w:rPr>
        <w:t xml:space="preserve"> 依法必须招标的暂估价项目</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对于依法必须招标的暂估价项目，采取以下第1种方式确定。合同当事人也可以在专用合同条款中选择其他招标方式。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第1种方式：对于依法必须招标的暂估价项目，由承包人招标，对该暂估价项目的确认和批准按照以下约定执行：</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应当根据施工进度计划，提前14天将招标文件通过监理人报送发包人审批，发包人应当在收到承包人报送的相关文件后7天内完成审批或提出修改意见；发包人有权确定招标控制价并按照法律规定参加评标；</w:t>
      </w:r>
    </w:p>
    <w:p>
      <w:pPr>
        <w:spacing w:line="360" w:lineRule="auto"/>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    （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10.7.2</w:t>
      </w:r>
      <w:r>
        <w:rPr>
          <w:rFonts w:hint="eastAsia" w:ascii="宋体" w:hAnsi="宋体" w:cs="宋体"/>
          <w:color w:val="auto"/>
          <w:kern w:val="0"/>
          <w:szCs w:val="21"/>
          <w:highlight w:val="none"/>
        </w:rPr>
        <w:t>不属于依法必须招标的暂估价项目</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除专用合同条款另有约定外，对于不属于依法必须招标的暂估价项目，采取以下第1种方式确定： </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第1种方式：对于不属于依法必须招标的暂估价项目，按本项约定确认和批准：</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（2）发包人认为承包人确定的供应商、分包人无法满足工程质量或合同要求的，发包人可以要求承包人重新确定暂估价项目的供应商、分包人;</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（3）承包人应当在签订暂估价合同后7天内，将暂估价合同副本报送发包人留存。</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第2种方式：承包人按照第10.7.1项〔依法必须招标的暂估价项目〕约定的第1种方式确定暂估价项目。</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第3种方式：</w:t>
      </w:r>
      <w:r>
        <w:rPr>
          <w:rFonts w:hint="eastAsia" w:ascii="宋体" w:hAnsi="宋体" w:cs="宋体"/>
          <w:color w:val="auto"/>
          <w:kern w:val="0"/>
          <w:szCs w:val="21"/>
          <w:highlight w:val="none"/>
        </w:rPr>
        <w:t>承包人直接实施的暂估价项目</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承包人具备实施暂估价项目的资格和条件的，经发包人和承包人协商一致后，可由承包人自行实施暂估价项目，合同当事人可以在专用合同条款约定具体事项。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10.7.3 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37" w:name="_Toc351203575"/>
      <w:r>
        <w:rPr>
          <w:rFonts w:hint="eastAsia" w:ascii="宋体" w:hAnsi="宋体" w:cs="宋体"/>
          <w:b/>
          <w:bCs/>
          <w:color w:val="auto"/>
          <w:sz w:val="21"/>
          <w:szCs w:val="21"/>
          <w:highlight w:val="none"/>
          <w:lang w:val="en-US" w:eastAsia="zh-CN"/>
        </w:rPr>
        <w:t>1</w:t>
      </w:r>
      <w:bookmarkStart w:id="1738" w:name="_Toc337558794"/>
      <w:bookmarkStart w:id="1739" w:name="_Toc322522561"/>
      <w:bookmarkStart w:id="1740" w:name="_Toc296503090"/>
      <w:bookmarkStart w:id="1741" w:name="_Toc296346591"/>
      <w:r>
        <w:rPr>
          <w:rFonts w:hint="eastAsia" w:ascii="宋体" w:hAnsi="宋体" w:cs="宋体"/>
          <w:b/>
          <w:bCs/>
          <w:color w:val="auto"/>
          <w:sz w:val="21"/>
          <w:szCs w:val="21"/>
          <w:highlight w:val="none"/>
          <w:lang w:val="en-US" w:eastAsia="zh-CN"/>
        </w:rPr>
        <w:t>0.8暂列金额</w:t>
      </w:r>
      <w:bookmarkEnd w:id="1737"/>
    </w:p>
    <w:bookmarkEnd w:id="1738"/>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暂列金额应按照发包人的要求使用，发包人的要求应通过监理人发出。合同当事人可以在专用合同条款中协商确定有关事项。</w:t>
      </w:r>
    </w:p>
    <w:bookmarkEnd w:id="1739"/>
    <w:bookmarkEnd w:id="1740"/>
    <w:bookmarkEnd w:id="1741"/>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42" w:name="_Toc351203576"/>
      <w:r>
        <w:rPr>
          <w:rFonts w:hint="eastAsia" w:ascii="宋体" w:hAnsi="宋体" w:cs="宋体"/>
          <w:b/>
          <w:bCs/>
          <w:color w:val="auto"/>
          <w:sz w:val="21"/>
          <w:szCs w:val="21"/>
          <w:highlight w:val="none"/>
          <w:lang w:val="en-US" w:eastAsia="zh-CN"/>
        </w:rPr>
        <w:t>1</w:t>
      </w:r>
      <w:bookmarkStart w:id="1743" w:name="_Toc296503091"/>
      <w:bookmarkStart w:id="1744" w:name="_Toc337558796"/>
      <w:bookmarkStart w:id="1745" w:name="_Toc296346592"/>
      <w:r>
        <w:rPr>
          <w:rFonts w:hint="eastAsia" w:ascii="宋体" w:hAnsi="宋体" w:cs="宋体"/>
          <w:b/>
          <w:bCs/>
          <w:color w:val="auto"/>
          <w:sz w:val="21"/>
          <w:szCs w:val="21"/>
          <w:highlight w:val="none"/>
          <w:lang w:val="en-US" w:eastAsia="zh-CN"/>
        </w:rPr>
        <w:t>0.9计日工</w:t>
      </w:r>
      <w:bookmarkEnd w:id="1742"/>
      <w:bookmarkEnd w:id="1743"/>
      <w:bookmarkEnd w:id="1744"/>
      <w:bookmarkEnd w:id="1745"/>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需要采用计日工方式的，经发包人同意后，由监理人通知承包人以计日工计价方式实施相应的工作，其价款按列入已标价工程量清单或预算书中的计日工计价项目及其单价进行计算；已标价工程量清单或预算书中无相应的计日工单价的，按照合理的成本与利润构成的原则，由合同当事人按照第4.4款〔商定或确定〕确定计日工的单价。</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采用计日工计价的任何一项工作，承包人应在该项工作实施过程中，每天提交以下报表和有关凭证报送监理人审查：</w:t>
      </w:r>
    </w:p>
    <w:p>
      <w:pPr>
        <w:spacing w:line="360" w:lineRule="auto"/>
        <w:ind w:firstLine="315" w:firstLineChars="15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（1）工作名称、内容和数量；</w:t>
      </w:r>
    </w:p>
    <w:p>
      <w:pPr>
        <w:spacing w:line="360" w:lineRule="auto"/>
        <w:ind w:firstLine="315" w:firstLineChars="15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（2）投入该工作的所有人员的姓名、专业、工种、级别和耗用工时；</w:t>
      </w:r>
    </w:p>
    <w:p>
      <w:pPr>
        <w:spacing w:line="360" w:lineRule="auto"/>
        <w:ind w:firstLine="315" w:firstLineChars="15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（3）投入该工作的材料类别和数量；</w:t>
      </w:r>
    </w:p>
    <w:p>
      <w:pPr>
        <w:spacing w:line="360" w:lineRule="auto"/>
        <w:ind w:firstLine="315" w:firstLineChars="15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（4）投入该工作的施工设备型号、台数和耗用台时；</w:t>
      </w:r>
    </w:p>
    <w:p>
      <w:pPr>
        <w:spacing w:line="360" w:lineRule="auto"/>
        <w:ind w:firstLine="315" w:firstLineChars="15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（5）其他有关资料和凭证。</w:t>
      </w:r>
    </w:p>
    <w:p>
      <w:pPr>
        <w:spacing w:line="360" w:lineRule="auto"/>
        <w:ind w:firstLine="315" w:firstLineChars="15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 计日工由承包人汇总后，列入最近一期进度付款申请单，由监理人审查并经发包人批准后列入进度付款。</w:t>
      </w:r>
    </w:p>
    <w:p>
      <w:pPr>
        <w:pStyle w:val="5"/>
        <w:spacing w:before="120" w:after="120" w:line="360" w:lineRule="auto"/>
        <w:outlineLvl w:val="3"/>
        <w:rPr>
          <w:rFonts w:hint="eastAsia" w:ascii="宋体" w:hAnsi="宋体" w:eastAsia="宋体" w:cs="宋体"/>
          <w:color w:val="auto"/>
          <w:sz w:val="24"/>
          <w:szCs w:val="24"/>
          <w:highlight w:val="none"/>
        </w:rPr>
      </w:pPr>
      <w:bookmarkStart w:id="1746" w:name="_Toc351203577"/>
      <w:r>
        <w:rPr>
          <w:rFonts w:hint="eastAsia" w:ascii="宋体" w:hAnsi="宋体" w:eastAsia="宋体" w:cs="宋体"/>
          <w:color w:val="auto"/>
          <w:sz w:val="24"/>
          <w:szCs w:val="24"/>
          <w:highlight w:val="none"/>
        </w:rPr>
        <w:t>11. 价格调整</w:t>
      </w:r>
      <w:bookmarkEnd w:id="1746"/>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47" w:name="_Toc351203578"/>
      <w:bookmarkStart w:id="1748" w:name="_Toc337558797"/>
      <w:bookmarkStart w:id="1749" w:name="_Toc296503092"/>
      <w:bookmarkStart w:id="1750" w:name="_Toc296346593"/>
      <w:r>
        <w:rPr>
          <w:rFonts w:hint="eastAsia" w:ascii="宋体" w:hAnsi="宋体" w:cs="宋体"/>
          <w:b/>
          <w:bCs/>
          <w:color w:val="auto"/>
          <w:sz w:val="21"/>
          <w:szCs w:val="21"/>
          <w:highlight w:val="none"/>
          <w:lang w:val="en-US" w:eastAsia="zh-CN"/>
        </w:rPr>
        <w:t>11.1市场价格波动引起的调整</w:t>
      </w:r>
      <w:bookmarkEnd w:id="1747"/>
    </w:p>
    <w:bookmarkEnd w:id="1748"/>
    <w:bookmarkEnd w:id="1749"/>
    <w:bookmarkEnd w:id="1750"/>
    <w:p>
      <w:pPr>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除专用合同条款另有约定外，市场价格波动超过合同当事人约定的范围，合同价格应当调整。合同当事人可以在专用合同条款中约定选择以下一种方式对合同价格进行调整：</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第1种方式：采用价格指数进行价格调整。</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（1）价格调整公式</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因人工、材料和设备等价格波动影响合同价格时，根据专用合同条款中约定的数据，按以下公式计算差额并调整合同价格：</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position w:val="-30"/>
          <w:szCs w:val="21"/>
          <w:highlight w:val="none"/>
        </w:rPr>
        <w:object>
          <v:shape id="_x0000_i1025" o:spt="75" type="#_x0000_t75" style="height:47.55pt;width:387.15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640"/>
        <w:textAlignment w:val="auto"/>
        <w:outlineLvl w:val="9"/>
        <w:rPr>
          <w:rFonts w:ascii="宋体" w:hAnsi="宋体" w:cs="宋体"/>
          <w:color w:val="auto"/>
          <w:szCs w:val="21"/>
          <w:highlight w:val="none"/>
        </w:rPr>
      </w:pPr>
      <w:r>
        <w:rPr>
          <w:rFonts w:hint="eastAsia" w:ascii="宋体" w:hAnsi="宋体" w:cs="宋体"/>
          <w:color w:val="auto"/>
          <w:szCs w:val="21"/>
          <w:highlight w:val="none"/>
        </w:rPr>
        <w:t>公式中：ΔP——需调整的价格差额；</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1260" w:firstLineChars="600"/>
        <w:textAlignment w:val="auto"/>
        <w:outlineLvl w:val="9"/>
        <w:rPr>
          <w:rFonts w:ascii="宋体" w:hAnsi="宋体" w:cs="宋体"/>
          <w:color w:val="auto"/>
          <w:szCs w:val="21"/>
          <w:highlight w:val="none"/>
        </w:rPr>
      </w:pPr>
      <w:r>
        <w:rPr>
          <w:rFonts w:hint="eastAsia" w:ascii="宋体" w:hAnsi="宋体" w:cs="宋体"/>
          <w:color w:val="auto"/>
          <w:position w:val="-6"/>
          <w:szCs w:val="21"/>
          <w:highlight w:val="none"/>
        </w:rPr>
        <w:object>
          <v:shape id="_x0000_i1026" o:spt="75" type="#_x0000_t75" style="height:17.65pt;width:17.65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r>
        <w:rPr>
          <w:rFonts w:hint="eastAsia" w:ascii="宋体" w:hAnsi="宋体" w:cs="宋体"/>
          <w:color w:val="auto"/>
          <w:szCs w:val="21"/>
          <w:highlight w:val="none"/>
        </w:rPr>
        <w:t>——约定的付款证书中承包人应得到的已完成工程量的金额。此项金额应不包括价格调整、不计质量保证金的扣留和支付、预付款的支付和扣回。约定的变更及其他金额已按现行价格计价的，也不计在内；</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A——定值权重（即不调部分的权重）；</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position w:val="-10"/>
          <w:szCs w:val="21"/>
          <w:highlight w:val="none"/>
        </w:rPr>
        <w:object>
          <v:shape id="_x0000_i1027" o:spt="75" type="#_x0000_t75" style="height:21.05pt;width:101.2pt;" o:ole="t" filled="f" o:preferrelative="t" stroked="f" coordsize="21600,21600">
            <v:path/>
            <v:fill on="f" focussize="0,0"/>
            <v:stroke on="f" joinstyle="miter"/>
            <v:imagedata r:id="rId17" o:title=""/>
            <o:lock v:ext="edit" aspectratio="t"/>
            <w10:wrap type="none"/>
            <w10:anchorlock/>
          </v:shape>
          <o:OLEObject Type="Embed" ProgID="Equation.3" ShapeID="_x0000_i1027" DrawAspect="Content" ObjectID="_1468075727" r:id="rId16">
            <o:LockedField>false</o:LockedField>
          </o:OLEObject>
        </w:object>
      </w:r>
      <w:r>
        <w:rPr>
          <w:rFonts w:hint="eastAsia" w:ascii="宋体" w:hAnsi="宋体" w:cs="宋体"/>
          <w:color w:val="auto"/>
          <w:szCs w:val="21"/>
          <w:highlight w:val="none"/>
        </w:rPr>
        <w:t>——各可调因子的变值权重（即可调部分的权重），为各可调因子在签约合同价中所占的比例；</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position w:val="-10"/>
          <w:szCs w:val="21"/>
          <w:highlight w:val="none"/>
        </w:rPr>
        <w:object>
          <v:shape id="_x0000_i1028" o:spt="75" type="#_x0000_t75" style="height:20.4pt;width:101.9pt;" o:ole="t" filled="f" o:preferrelative="t" stroked="f" coordsize="21600,21600">
            <v:path/>
            <v:fill on="f" focussize="0,0"/>
            <v:stroke on="f" joinstyle="miter"/>
            <v:imagedata r:id="rId19" o:title=""/>
            <o:lock v:ext="edit" aspectratio="t"/>
            <w10:wrap type="none"/>
            <w10:anchorlock/>
          </v:shape>
          <o:OLEObject Type="Embed" ProgID="Equation.3" ShapeID="_x0000_i1028" DrawAspect="Content" ObjectID="_1468075728" r:id="rId18">
            <o:LockedField>false</o:LockedField>
          </o:OLEObject>
        </w:object>
      </w:r>
      <w:r>
        <w:rPr>
          <w:rFonts w:hint="eastAsia" w:ascii="宋体" w:hAnsi="宋体" w:cs="宋体"/>
          <w:color w:val="auto"/>
          <w:szCs w:val="21"/>
          <w:highlight w:val="none"/>
        </w:rPr>
        <w:t>——各可调因子的现行价格指数，指约定的付款证书相关周期最后一天的前42天的各可调因子的价格指数；</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position w:val="-10"/>
          <w:szCs w:val="21"/>
          <w:highlight w:val="none"/>
        </w:rPr>
        <w:object>
          <v:shape id="_x0000_i1029" o:spt="75" type="#_x0000_t75" style="height:20.4pt;width:108pt;" o:ole="t" filled="f" o:preferrelative="t" stroked="f" coordsize="21600,21600">
            <v:path/>
            <v:fill on="f" focussize="0,0"/>
            <v:stroke on="f" joinstyle="miter"/>
            <v:imagedata r:id="rId21" o:title=""/>
            <o:lock v:ext="edit" aspectratio="t"/>
            <w10:wrap type="none"/>
            <w10:anchorlock/>
          </v:shape>
          <o:OLEObject Type="Embed" ProgID="Equation.3" ShapeID="_x0000_i1029" DrawAspect="Content" ObjectID="_1468075729" r:id="rId20">
            <o:LockedField>false</o:LockedField>
          </o:OLEObject>
        </w:object>
      </w:r>
      <w:r>
        <w:rPr>
          <w:rFonts w:hint="eastAsia" w:ascii="宋体" w:hAnsi="宋体" w:cs="宋体"/>
          <w:color w:val="auto"/>
          <w:szCs w:val="21"/>
          <w:highlight w:val="none"/>
        </w:rPr>
        <w:t>——各可调因子的基本价格指数，指基准日期的各可调因子的价格指数。</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（2）暂时确定调整差额</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在计算调整差额时无现行价格指数的，合同当事人同意暂用前次价格指数计算。实际价格指数有调整的，合同当事人进行相应调整。</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（3）权重的调整</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因变更导致合同约定的权重不合理时，按照第4.4款〔商定或确定〕执行。</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（4）因承包人原因工期延误后的价格调整</w:t>
      </w:r>
    </w:p>
    <w:p>
      <w:pPr>
        <w:pageBreakBefore w:val="0"/>
        <w:widowControl w:val="0"/>
        <w:tabs>
          <w:tab w:val="left" w:pos="0"/>
          <w:tab w:val="left" w:pos="360"/>
          <w:tab w:val="left" w:pos="540"/>
        </w:tabs>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因承包人原因未按期竣工的，对合同约定的竣工日期后继续施工的工程，在使用价格调整公式时，应采用计划竣工日期与实际竣工日期的两个价格指数中较低的一个作为现行价格指数。</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第2种方式：采用造价信息进行价格调整。</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合同履行期间，因人工、材料、工程设备和机械台班价格波动影响合同价格时，人工、机械使用费按照国家或省、自治区、直辖市建设行政管理部门、行业建设管理部门或其授权的工程造价管理机构发布的人工、机械使用费系数进行调整；需要进行价格调整的材料，其单价和采购数量应由发包人审批，发包人确认需调整的材料单价及数量，作为调整合同价格的依据。</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1）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（2）材料、工程设备价格变化的价款调整按照发包人提供的基准价格，按以下风险范围规定执行:</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①承包人在已标价工程量清单或预算书中载明材料单价低于基准价格的：除专用合同条款另有约定外，合同履行期间材料单价涨幅以基准价格为基础超过5%时，或材料单价跌幅以在已标价工程量清单或预算书中载明材料单价为基础超过5%时，其超过部分据实调整。</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②承包人在已标价工程量清单或预算书中载明材料单价高于基准价格的：除专用合同条款另有约定外，合同履行期间材料单价跌幅以基准价格为基础超过5%时，材料单价涨幅以在已标价工程量清单或预算书中载明材料单价为基础超过5%时，其超过部分据实调整。</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③承包人在已标价工程量清单或预算书中载明材料单价等于基准价格的：除专用合同条款另有约定外，合同履行期间材料单价涨跌幅以基准价格为基础超过±5%时，其超过部分据实调整。</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④承包人应在采购材料前将采购数量和新的材料单价报发包人核对，发包人确认用于工程时，发包人应确认采购材料的数量和单价。发包人在收到承包人报送的确认资料后5天内不予答复的视为认可，作为调整合同价格的依据。未经发包人事先核对，承包人自行采购材料的，发包人有权不予调整合同价格。发包人同意的，可以调整合同价格。</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bookmarkStart w:id="1751" w:name="OLE_LINK3"/>
      <w:r>
        <w:rPr>
          <w:rFonts w:hint="eastAsia" w:ascii="宋体" w:hAnsi="宋体" w:cs="宋体"/>
          <w:color w:val="auto"/>
          <w:szCs w:val="21"/>
          <w:highlight w:val="none"/>
        </w:rPr>
        <w:t>前述基准价格是指由发包人在招标文件或专用合同条款中给定的材料、工程设备的价格，该价格原则上应当按照省级或行业建设主管部门或其授权的工程造价管理机构发布的信息价编制。</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（3）施工机械台班单价或施工机械使用费发生变化超过省级或行业建设主管部门或其授权的工程造价管理机构规定的范围时，按规定调整合同价格。</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第3种方式：专用合同条款约定的其他方式。</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52" w:name="_Toc351203579"/>
      <w:bookmarkStart w:id="1753" w:name="_Toc337558798"/>
      <w:bookmarkStart w:id="1754" w:name="_Toc296503093"/>
      <w:bookmarkStart w:id="1755" w:name="_Toc296346594"/>
      <w:r>
        <w:rPr>
          <w:rFonts w:hint="eastAsia" w:ascii="宋体" w:hAnsi="宋体" w:cs="宋体"/>
          <w:b/>
          <w:bCs/>
          <w:color w:val="auto"/>
          <w:sz w:val="21"/>
          <w:szCs w:val="21"/>
          <w:highlight w:val="none"/>
          <w:lang w:val="en-US" w:eastAsia="zh-CN"/>
        </w:rPr>
        <w:t>11.2法律变化引起的调整</w:t>
      </w:r>
      <w:bookmarkEnd w:id="1752"/>
    </w:p>
    <w:bookmarkEnd w:id="1753"/>
    <w:bookmarkEnd w:id="1754"/>
    <w:bookmarkEnd w:id="1755"/>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基准日期后，法律变化导致承包人在合同履行过程中所需要的费用发生除第11.1款〔市场价格波动引起的调整〕约定以外的增加时，由发包人承担由此增加的费用；减少时，应从合同价格中予以扣减。基准日期后，因法律变化造成工期延误时，工期应予以顺延。</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因法律变化引起的合同价格和工期调整，合同当事人无法达成一致的，由总监理工程师按第4.4款〔商定或确定〕的约定处理。</w:t>
      </w:r>
    </w:p>
    <w:p>
      <w:pPr>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kern w:val="0"/>
          <w:szCs w:val="21"/>
          <w:highlight w:val="none"/>
        </w:rPr>
        <w:t>因承包人原因造成工期延误，在工期延误期间出现法律变化的，由此增加的费用和（或）延误的工期由承包人承担。</w:t>
      </w:r>
    </w:p>
    <w:p>
      <w:pPr>
        <w:pStyle w:val="5"/>
        <w:spacing w:before="120" w:after="120" w:line="360" w:lineRule="auto"/>
        <w:outlineLvl w:val="3"/>
        <w:rPr>
          <w:rFonts w:hint="eastAsia" w:ascii="宋体" w:hAnsi="宋体" w:eastAsia="宋体" w:cs="宋体"/>
          <w:color w:val="auto"/>
          <w:sz w:val="24"/>
          <w:szCs w:val="24"/>
          <w:highlight w:val="none"/>
        </w:rPr>
      </w:pPr>
      <w:bookmarkStart w:id="1756" w:name="_Toc351203580"/>
      <w:bookmarkStart w:id="1757" w:name="_Toc337558799"/>
      <w:bookmarkStart w:id="1758" w:name="_Toc296346597"/>
      <w:bookmarkStart w:id="1759" w:name="_Toc296503096"/>
      <w:r>
        <w:rPr>
          <w:rFonts w:hint="eastAsia" w:ascii="宋体" w:hAnsi="宋体" w:eastAsia="宋体" w:cs="宋体"/>
          <w:color w:val="auto"/>
          <w:sz w:val="24"/>
          <w:szCs w:val="24"/>
          <w:highlight w:val="none"/>
        </w:rPr>
        <w:t>12. 合同价格、计量与支付</w:t>
      </w:r>
      <w:bookmarkEnd w:id="1756"/>
    </w:p>
    <w:bookmarkEnd w:id="1757"/>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60" w:name="_Toc351203581"/>
      <w:bookmarkStart w:id="1761" w:name="_Toc337558800"/>
      <w:r>
        <w:rPr>
          <w:rFonts w:hint="eastAsia" w:ascii="宋体" w:hAnsi="宋体" w:cs="宋体"/>
          <w:b/>
          <w:bCs/>
          <w:color w:val="auto"/>
          <w:sz w:val="21"/>
          <w:szCs w:val="21"/>
          <w:highlight w:val="none"/>
          <w:lang w:val="en-US" w:eastAsia="zh-CN"/>
        </w:rPr>
        <w:t>12.1 合同价</w:t>
      </w:r>
      <w:bookmarkEnd w:id="1758"/>
      <w:bookmarkEnd w:id="1759"/>
      <w:r>
        <w:rPr>
          <w:rFonts w:hint="eastAsia" w:ascii="宋体" w:hAnsi="宋体" w:cs="宋体"/>
          <w:b/>
          <w:bCs/>
          <w:color w:val="auto"/>
          <w:sz w:val="21"/>
          <w:szCs w:val="21"/>
          <w:highlight w:val="none"/>
          <w:lang w:val="en-US" w:eastAsia="zh-CN"/>
        </w:rPr>
        <w:t>格形式</w:t>
      </w:r>
      <w:bookmarkEnd w:id="1760"/>
    </w:p>
    <w:bookmarkEnd w:id="1761"/>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发包人和承包人应在合同协议书中选择下列一种合同价格形式： </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1.单价合同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单价合同是指合同当事人约定以工程量清单及其综合单价进行合同价格计算、调整和确认的建设工程施工合同，</w:t>
      </w:r>
      <w:r>
        <w:rPr>
          <w:rFonts w:hint="eastAsia" w:ascii="宋体" w:hAnsi="宋体" w:cs="宋体"/>
          <w:color w:val="auto"/>
          <w:szCs w:val="21"/>
          <w:highlight w:val="none"/>
        </w:rPr>
        <w:t>在约定的范围内合同单价不作调整</w:t>
      </w:r>
      <w:r>
        <w:rPr>
          <w:rFonts w:hint="eastAsia" w:ascii="宋体" w:hAnsi="宋体" w:cs="宋体"/>
          <w:color w:val="auto"/>
          <w:kern w:val="0"/>
          <w:szCs w:val="21"/>
          <w:highlight w:val="none"/>
        </w:rPr>
        <w:t>。合同当事人应在专用合同条款中约定综合单价包含的风险范围和风险费用的计算方法</w:t>
      </w:r>
      <w:r>
        <w:rPr>
          <w:rFonts w:hint="eastAsia" w:ascii="宋体" w:hAnsi="宋体" w:cs="宋体"/>
          <w:color w:val="auto"/>
          <w:szCs w:val="21"/>
          <w:highlight w:val="none"/>
        </w:rPr>
        <w:t>，</w:t>
      </w:r>
      <w:r>
        <w:rPr>
          <w:rFonts w:hint="eastAsia" w:ascii="宋体" w:hAnsi="宋体" w:cs="宋体"/>
          <w:color w:val="auto"/>
          <w:kern w:val="0"/>
          <w:szCs w:val="21"/>
          <w:highlight w:val="none"/>
        </w:rPr>
        <w:t>并约定风险范围以外的合同价格的调整方法，其中因市场价格波动引起的调整按第11.1款〔市场价格波动引起的调整〕约定执行。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2.总价合同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总价合同是指合同当事人约定以施工图、已标价工程量清单或预算书及有关条件进行合同价格计算、调整和确认的建设工程施工合同，</w:t>
      </w:r>
      <w:r>
        <w:rPr>
          <w:rFonts w:hint="eastAsia" w:ascii="宋体" w:hAnsi="宋体" w:cs="宋体"/>
          <w:color w:val="auto"/>
          <w:szCs w:val="21"/>
          <w:highlight w:val="none"/>
        </w:rPr>
        <w:t>在约定的范围内合同总价不作调整</w:t>
      </w:r>
      <w:r>
        <w:rPr>
          <w:rFonts w:hint="eastAsia" w:ascii="宋体" w:hAnsi="宋体" w:cs="宋体"/>
          <w:color w:val="auto"/>
          <w:kern w:val="0"/>
          <w:szCs w:val="21"/>
          <w:highlight w:val="none"/>
        </w:rPr>
        <w:t>。合同当事人应在专用合同条款中约定总价包含的风险范围和风险费用的计算方法，并约定风险范围以外的合同价格的调整方法，其中因市场价格波动引起的调整按第11.1款〔市场价格波动引起的调整〕、因法律变化引起的调整按第11.2款〔法律变化引起的调整〕约定执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3.其它价格形式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合同当事人可在专用合同条款中约定其他合同价格形式。</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62" w:name="_Toc296346598"/>
      <w:bookmarkStart w:id="1763" w:name="_Toc296503097"/>
      <w:bookmarkStart w:id="1764" w:name="_Toc351203582"/>
      <w:bookmarkStart w:id="1765" w:name="_Toc337558801"/>
      <w:r>
        <w:rPr>
          <w:rFonts w:hint="eastAsia" w:ascii="宋体" w:hAnsi="宋体" w:cs="宋体"/>
          <w:b/>
          <w:bCs/>
          <w:color w:val="auto"/>
          <w:sz w:val="21"/>
          <w:szCs w:val="21"/>
          <w:highlight w:val="none"/>
          <w:lang w:val="en-US" w:eastAsia="zh-CN"/>
        </w:rPr>
        <w:t>12.2预</w:t>
      </w:r>
      <w:bookmarkEnd w:id="1762"/>
      <w:bookmarkEnd w:id="1763"/>
      <w:bookmarkStart w:id="1766" w:name="_Toc296346601"/>
      <w:bookmarkStart w:id="1767" w:name="_Toc296503100"/>
      <w:r>
        <w:rPr>
          <w:rFonts w:hint="eastAsia" w:ascii="宋体" w:hAnsi="宋体" w:cs="宋体"/>
          <w:b/>
          <w:bCs/>
          <w:color w:val="auto"/>
          <w:sz w:val="21"/>
          <w:szCs w:val="21"/>
          <w:highlight w:val="none"/>
          <w:lang w:val="en-US" w:eastAsia="zh-CN"/>
        </w:rPr>
        <w:t>付款</w:t>
      </w:r>
      <w:bookmarkEnd w:id="1764"/>
    </w:p>
    <w:bookmarkEnd w:id="1765"/>
    <w:bookmarkEnd w:id="1766"/>
    <w:bookmarkEnd w:id="1767"/>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12.2.</w:t>
      </w:r>
      <w:r>
        <w:rPr>
          <w:rFonts w:hint="eastAsia" w:ascii="宋体" w:hAnsi="宋体" w:cs="宋体"/>
          <w:color w:val="auto"/>
          <w:kern w:val="0"/>
          <w:szCs w:val="21"/>
          <w:highlight w:val="none"/>
        </w:rPr>
        <w:t>1预付款的支付</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预付款的支付按照专用合同条款约定执行，但至迟应在开工通知载明的开工日期7天前支付。预付款应当用于材料、工程设备、施工设备的采购及修建临时工程、组织施工队伍进场等。</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除专用合同条款另有约定外，预付款在进度付款中同比例扣回。</w:t>
      </w:r>
      <w:bookmarkEnd w:id="1751"/>
      <w:r>
        <w:rPr>
          <w:rFonts w:hint="eastAsia" w:ascii="宋体" w:hAnsi="宋体" w:cs="宋体"/>
          <w:color w:val="auto"/>
          <w:kern w:val="0"/>
          <w:szCs w:val="21"/>
          <w:highlight w:val="none"/>
        </w:rPr>
        <w:t>在颁发工程接收证书前，提前解除合同的，尚未扣完的预付款应与合同价款一并结算。</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发包人逾期支付预付款超过7天的，承包人有权向发包人发出要求预付的催告通知，发包人收到通知后7天内仍未支付的，承包人有权暂停施工，并按第16.1.1项〔发包人违约的情形〕执行。</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12.2.2 预付款担保</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要求承包人提供预付款担保的，承包人应在发包人支付预付款7天前提供预付款担保，专用合同条款另有约定除外。预付款担保可采用银行保函、担保公司担保等形式，具体由合同当事人在专用合同条款中约定。在预付款完全扣回之前，承包人应保证预付款担保持续有效。</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发包人在工程款中逐期扣回预付款后，预付款担保额度应相应减少，但剩余的预付款担保金额不得低于未被扣回的预付款金额。</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68" w:name="_Toc351203583"/>
      <w:bookmarkStart w:id="1769" w:name="_Toc337558802"/>
      <w:r>
        <w:rPr>
          <w:rFonts w:hint="eastAsia" w:ascii="宋体" w:hAnsi="宋体" w:cs="宋体"/>
          <w:b/>
          <w:bCs/>
          <w:color w:val="auto"/>
          <w:sz w:val="21"/>
          <w:szCs w:val="21"/>
          <w:highlight w:val="none"/>
          <w:lang w:val="en-US" w:eastAsia="zh-CN"/>
        </w:rPr>
        <w:t>12.3计量</w:t>
      </w:r>
      <w:bookmarkEnd w:id="1768"/>
    </w:p>
    <w:bookmarkEnd w:id="1769"/>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12.3.1 计量原则</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工程量计量按照合同约定的工程量计算规则、图纸及变更指示等进行计量。工程量计算规则应以相关的国家标准、行业标准等为依据，由合同当事人在专用合同条款中约定。</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12.3.2 计量周期</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除专用合同条款另有约定外，工程量的计量按月进行。</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12.3.3 单价合同的计量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除专用合同条款另有约定外，单价合同的计量按照本项约定执行：</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（1）承包人应于每月25日向监理人报送上月20日至当月19日已完成的工程量报告，并附具进度付款申请单、已完成工程量报表和有关资料。</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pPr>
        <w:spacing w:line="360" w:lineRule="auto"/>
        <w:ind w:firstLine="422" w:firstLineChars="200"/>
        <w:jc w:val="left"/>
        <w:outlineLvl w:val="9"/>
        <w:rPr>
          <w:rFonts w:ascii="宋体" w:hAnsi="宋体" w:cs="宋体"/>
          <w:b/>
          <w:bCs/>
          <w:color w:val="auto"/>
          <w:kern w:val="0"/>
          <w:szCs w:val="21"/>
          <w:highlight w:val="none"/>
        </w:rPr>
      </w:pPr>
      <w:r>
        <w:rPr>
          <w:rFonts w:hint="eastAsia" w:ascii="宋体" w:hAnsi="宋体" w:eastAsia="宋体" w:cs="宋体"/>
          <w:b/>
          <w:bCs/>
          <w:color w:val="auto"/>
          <w:kern w:val="0"/>
          <w:sz w:val="21"/>
          <w:szCs w:val="21"/>
          <w:highlight w:val="none"/>
          <w:u w:val="none"/>
        </w:rPr>
        <w:t>（</w:t>
      </w:r>
      <w:r>
        <w:rPr>
          <w:rFonts w:ascii="宋体" w:hAnsi="宋体" w:eastAsia="宋体" w:cs="宋体"/>
          <w:b/>
          <w:bCs/>
          <w:color w:val="auto"/>
          <w:kern w:val="0"/>
          <w:sz w:val="21"/>
          <w:szCs w:val="21"/>
          <w:highlight w:val="none"/>
          <w:u w:val="none"/>
        </w:rPr>
        <w:t>3）</w:t>
      </w:r>
      <w:r>
        <w:rPr>
          <w:rFonts w:hint="eastAsia" w:ascii="宋体" w:hAnsi="宋体" w:eastAsia="宋体" w:cs="宋体"/>
          <w:color w:val="auto"/>
          <w:kern w:val="0"/>
          <w:sz w:val="21"/>
          <w:szCs w:val="21"/>
          <w:highlight w:val="none"/>
          <w:u w:val="none"/>
        </w:rPr>
        <w:t>隐蔽工程未经验收或验收不合格，擅自进入下一道施工工序的，该隐蔽工程的工程量不予记入工程价款。</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12.3.4 总价合同的计量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除专用合同条款另有约定外，按月计量支付的总价合同，按照本项约定执行：</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（1）承包人应于每月25日向监理人报送上月20日至当月19日已完成的工程量报告，并附具进度付款申请单、已完成工程量报表和有关资料。</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（3）监理人未在收到承包人提交的工程量报表后的7天内完成复核的，承包人提交的工程量报告中的工程量视为承包人实际完成的工程量。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12.3.5 总价合同采用支付分解表计量支付的，可以按照第12.3.4项〔总价合同的计量〕约定进行计量，但合同价款按照支付分解表进行支付。</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12.3.6 其他价格形式合同的计量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合同当事人可在专用合同条款中约定其他价格形式合同的计量方式和程序。</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70" w:name="_Toc296346602"/>
      <w:bookmarkStart w:id="1771" w:name="_Toc296503101"/>
      <w:bookmarkStart w:id="1772" w:name="_Toc351203584"/>
      <w:bookmarkStart w:id="1773" w:name="_Toc337558803"/>
      <w:r>
        <w:rPr>
          <w:rFonts w:hint="eastAsia" w:ascii="宋体" w:hAnsi="宋体" w:cs="宋体"/>
          <w:b/>
          <w:bCs/>
          <w:color w:val="auto"/>
          <w:sz w:val="21"/>
          <w:szCs w:val="21"/>
          <w:highlight w:val="none"/>
          <w:lang w:val="en-US" w:eastAsia="zh-CN"/>
        </w:rPr>
        <w:t>12.4工程进度款支</w:t>
      </w:r>
      <w:bookmarkEnd w:id="1770"/>
      <w:bookmarkEnd w:id="1771"/>
      <w:r>
        <w:rPr>
          <w:rFonts w:hint="eastAsia" w:ascii="宋体" w:hAnsi="宋体" w:cs="宋体"/>
          <w:b/>
          <w:bCs/>
          <w:color w:val="auto"/>
          <w:sz w:val="21"/>
          <w:szCs w:val="21"/>
          <w:highlight w:val="none"/>
          <w:lang w:val="en-US" w:eastAsia="zh-CN"/>
        </w:rPr>
        <w:t>付</w:t>
      </w:r>
      <w:bookmarkEnd w:id="1772"/>
    </w:p>
    <w:bookmarkEnd w:id="1773"/>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bookmarkStart w:id="1774" w:name="_Toc29821"/>
      <w:r>
        <w:rPr>
          <w:rFonts w:hint="eastAsia" w:ascii="宋体" w:hAnsi="宋体" w:cs="宋体"/>
          <w:color w:val="auto"/>
          <w:szCs w:val="21"/>
          <w:highlight w:val="none"/>
        </w:rPr>
        <w:t>12.4</w:t>
      </w:r>
      <w:r>
        <w:rPr>
          <w:rFonts w:hint="eastAsia" w:ascii="宋体" w:hAnsi="宋体" w:cs="宋体"/>
          <w:color w:val="auto"/>
          <w:kern w:val="0"/>
          <w:szCs w:val="21"/>
          <w:highlight w:val="none"/>
        </w:rPr>
        <w:t>.1 付款周期</w:t>
      </w:r>
      <w:bookmarkEnd w:id="1774"/>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除专用合同条款另有约定外，付款周期应按照第12.3.2项〔计量周期〕的约定与计量周期保持一致。</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12.4</w:t>
      </w:r>
      <w:r>
        <w:rPr>
          <w:rFonts w:hint="eastAsia" w:ascii="宋体" w:hAnsi="宋体" w:cs="宋体"/>
          <w:color w:val="auto"/>
          <w:kern w:val="0"/>
          <w:szCs w:val="21"/>
          <w:highlight w:val="none"/>
        </w:rPr>
        <w:t>.2 进度付款申请单的编制</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除专用合同条款另有约定外，进度付款申请单应包括下列内容：</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（1）截至本次付款周期已完成工作对应的金额；</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（2）根据第10条〔变更〕应增加和扣减的变更金额；</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（3）根据第12.2款〔预付款〕约定应支付的预付款和扣减的返还预付款；</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（4）根据第15.3款〔质量保证金〕约定应扣减的质量保证金；</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（5）根据第19条〔索赔〕应增加和扣减的索赔金额；</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（6）对已签发的进度款支付证书中出现错误的修正，应在本次进度付款中支付或扣除的金额；</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（7）根据合同约定应增加和扣减的其他金额。</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bookmarkStart w:id="1775" w:name="_Toc1226"/>
      <w:r>
        <w:rPr>
          <w:rFonts w:hint="eastAsia" w:ascii="宋体" w:hAnsi="宋体" w:cs="宋体"/>
          <w:color w:val="auto"/>
          <w:kern w:val="0"/>
          <w:szCs w:val="21"/>
          <w:highlight w:val="none"/>
        </w:rPr>
        <w:t>12.4.3 进度付款申请单的提交</w:t>
      </w:r>
      <w:bookmarkEnd w:id="1775"/>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（1）单价合同进度付款申请单的提交</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单价合同的进度付款申请单，按照第12.3.3项〔单价合同的计量〕约定的时间按月向监理人提交，并附上已完成工程量报表和有关资料。单价合同中的总价项目按月进行支付分解，并汇总列入当期进度付款申请单。</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（2）总价合同进度付款申请单的提交</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总价合同按月计量支付的，承包人按照第12.3.4项〔总价合同的计量〕约定的时间按月向监理人提交进度付款申请单，并附上已完成工程量报表和有关资料。</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总价合同按支付分解表支付的，承包人应按照第12.4.6项〔支付分解表〕及第12.4.2项〔进度付款申请单的编制〕的约定向监理人提交进度付款申请单。</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（3）其他价格形式合同的进度付款申请单的提交</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合同当事人可在专用合同条款中约定其他价格形式合同的进度付款申请单的编制和提交程序。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12.4</w:t>
      </w:r>
      <w:r>
        <w:rPr>
          <w:rFonts w:hint="eastAsia" w:ascii="宋体" w:hAnsi="宋体" w:cs="宋体"/>
          <w:color w:val="auto"/>
          <w:kern w:val="0"/>
          <w:szCs w:val="21"/>
          <w:highlight w:val="none"/>
        </w:rPr>
        <w:t>.4 进度款审核和支付</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除专用合同条款另有约定外，监理人应在收到承包人进度付款申请单以及相关资料后7天内完成审查并报送发包人，发包人应在收到后7天内完成审批并签发进度款支付证书。发包人逾期未完成审批且未提出异议的，视为已签发进度款支付证书。</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和监理人对承包人的进度付款申请单有异议的，有权要求承包人修正和提供补充资料，承包人应提交修正后的进度付款申请单。监理人应在收到承包人修正后的进度付款申请单及相关资料后7天内完成审查并报送发包人，发包人应在收到监理人报送的进度付款申请单及相关资料后7天内，向承包人签发无异议部分的临时进度款支付证书。存在争议的部分，按照第20条〔争议解决〕的约定处理。</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（2）除专用合同条款另有约定外，发包人应在进度款支付证书或临时进度款支付证书签发后14天内完成支付，发包人逾期支付进度款的，应按照中国人民银行发布的同期同类贷款基准利率支付违约金。</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（3）发包人签发进度款支付证书或临时进度款支付证书，不表明发包人已同意、批准或接受了承包人完成的相应部分的工作。</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12.4.5 进度付款的修正</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在对已签发的进度款支付证书进行阶段汇总和复核中发现错误、遗漏或重复的，发包人和承包人均有权提出修正申请。经发包人和承包人同意的修正，应在下期进度付款中支付或扣除。</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12.4.6 支付分解表</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1.支付分解表的编制要求</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（1）支付分解表中所列的每期付款金额，应为第12.4.2项〔进度付款申请单的编制〕第（1）目的估算金额；</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（2）实际进度与施工进度计划不一致的，合同当事人可按照第4.4款〔商定或确定〕修改支付分解表；</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（3）不采用支付分解表的，承包人应向发包人和监理人提交按季度编制的支付估算分解表，用于支付参考。</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2.总价合同支付分解表的编制与审批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除专用合同条款另有约定外，承包人应根据第7.2款〔施工进度计划〕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（2）监理人应在收到支付分解表后7天内完成审核并报送发包人。发包人应在收到经监理人审核的支付分解表后7天内完成审批，经发包人批准的支付分解表为有约束力的支付分解表。</w:t>
      </w:r>
    </w:p>
    <w:p>
      <w:pPr>
        <w:spacing w:line="360" w:lineRule="auto"/>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    （3）发包人逾期未完成支付分解表审批的，也未及时要求承包人进行修正和提供补充资料的，则承包人提交的支付分解表视为已经获得发包人批准。</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3.单价合同的总价项目支付分解表的编制与审批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76" w:name="_Toc351203585"/>
      <w:r>
        <w:rPr>
          <w:rFonts w:hint="eastAsia" w:ascii="宋体" w:hAnsi="宋体" w:cs="宋体"/>
          <w:b/>
          <w:bCs/>
          <w:color w:val="auto"/>
          <w:sz w:val="21"/>
          <w:szCs w:val="21"/>
          <w:highlight w:val="none"/>
          <w:lang w:val="en-US" w:eastAsia="zh-CN"/>
        </w:rPr>
        <w:t>12.5支付账户</w:t>
      </w:r>
      <w:bookmarkEnd w:id="1776"/>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发包人应将合同价款支付至合同协议书中约定的承包人账户。</w:t>
      </w:r>
    </w:p>
    <w:p>
      <w:pPr>
        <w:pStyle w:val="5"/>
        <w:spacing w:before="120" w:after="120" w:line="360" w:lineRule="auto"/>
        <w:outlineLvl w:val="3"/>
        <w:rPr>
          <w:rFonts w:hint="eastAsia" w:ascii="宋体" w:hAnsi="宋体" w:eastAsia="宋体" w:cs="宋体"/>
          <w:color w:val="auto"/>
          <w:sz w:val="24"/>
          <w:szCs w:val="24"/>
          <w:highlight w:val="none"/>
        </w:rPr>
      </w:pPr>
      <w:bookmarkStart w:id="1777" w:name="_Toc351203586"/>
      <w:bookmarkStart w:id="1778" w:name="_Toc296503106"/>
      <w:bookmarkStart w:id="1779" w:name="_Toc296346607"/>
      <w:bookmarkStart w:id="1780" w:name="_Toc337558804"/>
      <w:bookmarkStart w:id="1781" w:name="_Toc322522574"/>
      <w:r>
        <w:rPr>
          <w:rFonts w:hint="eastAsia" w:ascii="宋体" w:hAnsi="宋体" w:eastAsia="宋体" w:cs="宋体"/>
          <w:color w:val="auto"/>
          <w:sz w:val="24"/>
          <w:szCs w:val="24"/>
          <w:highlight w:val="none"/>
        </w:rPr>
        <w:t>13. 验收和工程试车</w:t>
      </w:r>
      <w:bookmarkEnd w:id="1777"/>
    </w:p>
    <w:bookmarkEnd w:id="1778"/>
    <w:bookmarkEnd w:id="1779"/>
    <w:bookmarkEnd w:id="1780"/>
    <w:bookmarkEnd w:id="1781"/>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82" w:name="_Toc351203587"/>
      <w:bookmarkStart w:id="1783" w:name="_Toc337558805"/>
      <w:bookmarkStart w:id="1784" w:name="_Toc296346611"/>
      <w:bookmarkStart w:id="1785" w:name="_Toc296503110"/>
      <w:r>
        <w:rPr>
          <w:rFonts w:hint="eastAsia" w:ascii="宋体" w:hAnsi="宋体" w:cs="宋体"/>
          <w:b/>
          <w:bCs/>
          <w:color w:val="auto"/>
          <w:sz w:val="21"/>
          <w:szCs w:val="21"/>
          <w:highlight w:val="none"/>
          <w:lang w:val="en-US" w:eastAsia="zh-CN"/>
        </w:rPr>
        <w:t>13.1分部分项工程验收</w:t>
      </w:r>
      <w:bookmarkEnd w:id="1782"/>
    </w:p>
    <w:bookmarkEnd w:id="1783"/>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13.1.1 分部分项工程质量应符合国家有关工程施工验收规范、标准及合同约定，承包人应按照施工组织设计的要求完成分部分项工程施工。</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13.1.2 除专用合同条款另有约定外，分部分项工程经承包人自检合格并具备验收条件的，承包人应提前48小时通知监理人进行验收。</w:t>
      </w:r>
      <w:r>
        <w:rPr>
          <w:rFonts w:hint="eastAsia" w:ascii="宋体" w:hAnsi="宋体" w:cs="宋体"/>
          <w:color w:val="auto"/>
          <w:kern w:val="0"/>
          <w:szCs w:val="21"/>
          <w:highlight w:val="none"/>
        </w:rPr>
        <w:t>监理人不能按时进行验收的，应在验收前24小时向承包人提交书面延期要求，但延期不能超过48小时。监理人未按时进行验收，也未提出延期要求的，承包人有权自行验收，监理人应认可验收结果。</w:t>
      </w:r>
      <w:r>
        <w:rPr>
          <w:rFonts w:hint="eastAsia" w:ascii="宋体" w:hAnsi="宋体" w:cs="宋体"/>
          <w:color w:val="auto"/>
          <w:szCs w:val="21"/>
          <w:highlight w:val="none"/>
        </w:rPr>
        <w:t>分部分项工程未经验收的，不得进入下一道工序施工。</w:t>
      </w:r>
    </w:p>
    <w:p>
      <w:pPr>
        <w:pageBreakBefore w:val="0"/>
        <w:widowControl w:val="0"/>
        <w:kinsoku/>
        <w:wordWrap/>
        <w:overflowPunct/>
        <w:topLinePunct w:val="0"/>
        <w:bidi w:val="0"/>
        <w:snapToGrid/>
        <w:spacing w:line="360" w:lineRule="auto"/>
        <w:ind w:firstLine="420" w:firstLineChars="200"/>
        <w:textAlignment w:val="auto"/>
        <w:outlineLvl w:val="9"/>
        <w:rPr>
          <w:rFonts w:ascii="宋体" w:hAnsi="宋体" w:cs="宋体"/>
          <w:color w:val="auto"/>
          <w:szCs w:val="21"/>
          <w:highlight w:val="none"/>
        </w:rPr>
      </w:pPr>
      <w:r>
        <w:rPr>
          <w:rFonts w:hint="eastAsia" w:ascii="宋体" w:hAnsi="宋体" w:cs="宋体"/>
          <w:color w:val="auto"/>
          <w:szCs w:val="21"/>
          <w:highlight w:val="none"/>
        </w:rPr>
        <w:t>分部分项工程的验收资料应当作为竣工资料的组成部分。</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86" w:name="_Toc351203588"/>
      <w:bookmarkStart w:id="1787" w:name="_Toc337558806"/>
      <w:r>
        <w:rPr>
          <w:rFonts w:hint="eastAsia" w:ascii="宋体" w:hAnsi="宋体" w:cs="宋体"/>
          <w:b/>
          <w:bCs/>
          <w:color w:val="auto"/>
          <w:sz w:val="21"/>
          <w:szCs w:val="21"/>
          <w:highlight w:val="none"/>
          <w:lang w:val="en-US" w:eastAsia="zh-CN"/>
        </w:rPr>
        <w:t>13.2竣工验收</w:t>
      </w:r>
      <w:bookmarkEnd w:id="1786"/>
    </w:p>
    <w:bookmarkEnd w:id="1784"/>
    <w:bookmarkEnd w:id="1785"/>
    <w:bookmarkEnd w:id="1787"/>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13.2.1竣工验收条件</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工程具备以下条件的，承包人可以申请竣工验收：</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（1）除发包人同意的甩项工作和缺陷修补工作外，合同范围内的全部工程以及有关工作，包括合同要求的试验、试运行以及检验均已完成，并符合合同要求；</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（2）已按合同约定编制了甩项工作和缺陷修补工作清单以及相应的施工计划；</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（3）已按合同约定的内容和份数备齐竣工资料。</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13.2.2竣工验收程序</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除专用合同条款另有约定外，承包人申请竣工验收的，应当按照以下程序进行：</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（2）监理人审查后认为已具备竣工验收条件的，应将竣工验收申请报告提交发包人，发包人应在收到经监理人审核的竣工验收申请报告后28天内审批完毕并组织监理人、承包人、设计人等相关单位完成竣工验收。</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（3）竣工验收合格的，发包人应在验收合格后14天内向承包人签发工程接收证书。发包人无正当理由逾期不颁发工程接收证书的，自验收合格后第15天起视为已颁发工程接收证书。</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4）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（5）工程未经验收或验收不合格，发包人擅自使用的，应在转移占有工程后7天内向承包人颁发工程接收证书；发包人无正当理由逾期不颁发工程接收证书的，自转移占有后第15天起视为已颁发工程接收证书。</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除专用合同条款另有约定外，发包人不按照本项约定组织竣工验收、颁发工程接收证书的，每逾期一天，应以签约合同价为基数，按照中国人民银行发布的同期同类贷款基准利率支付违约金。</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13.2.3竣工日期</w:t>
      </w:r>
    </w:p>
    <w:p>
      <w:pPr>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并在工程接收证书中载明；因发包人原因，未在监理人收到承包人提交的竣工验收申请报告42天内完成竣工验收，或完成竣工验收不予签发工程接收证书的，以提交竣工验</w:t>
      </w:r>
      <w:bookmarkStart w:id="1788" w:name="#go14"/>
      <w:bookmarkEnd w:id="1788"/>
      <w:r>
        <w:rPr>
          <w:rFonts w:hint="eastAsia" w:ascii="宋体" w:hAnsi="宋体" w:cs="宋体"/>
          <w:color w:val="auto"/>
          <w:kern w:val="0"/>
          <w:szCs w:val="21"/>
          <w:highlight w:val="none"/>
        </w:rPr>
        <w:t>收申请报告的日期为实际竣工日期；工程未经竣工验收，发包人擅自使用的，以转移占有工程之日为实际竣工日期。</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bookmarkStart w:id="1789" w:name="_Toc20358"/>
      <w:r>
        <w:rPr>
          <w:rFonts w:hint="eastAsia" w:ascii="宋体" w:hAnsi="宋体" w:cs="宋体"/>
          <w:color w:val="auto"/>
          <w:kern w:val="0"/>
          <w:szCs w:val="21"/>
          <w:highlight w:val="none"/>
        </w:rPr>
        <w:t>13.2.4 拒绝接收全部或部分工程</w:t>
      </w:r>
      <w:bookmarkEnd w:id="1789"/>
    </w:p>
    <w:p>
      <w:pPr>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对于竣工验收不合格的工程，承包人完成整改后，应当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pPr>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13.2.5 移交、接收全部与部分工程</w:t>
      </w:r>
    </w:p>
    <w:p>
      <w:pPr>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除专用合同条款另有约定外，合同当事人应当在颁发工程接收证书后7天内完成工程的移交。</w:t>
      </w:r>
    </w:p>
    <w:p>
      <w:pPr>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发包人无正当理由不接收工程的，发包人自应当接收工程之日起，承担工程照管、成品保护、保管等与工程有关的各项费用，合同当事人可以在专用合同条款中另行约定发包人逾期接收工程的违约责任。</w:t>
      </w:r>
    </w:p>
    <w:p>
      <w:pPr>
        <w:pageBreakBefore w:val="0"/>
        <w:widowControl w:val="0"/>
        <w:kinsoku/>
        <w:wordWrap/>
        <w:overflowPunct/>
        <w:topLinePunct w:val="0"/>
        <w:autoSpaceDE w:val="0"/>
        <w:autoSpaceDN w:val="0"/>
        <w:bidi w:val="0"/>
        <w:adjustRightInd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承包人无正当理由不移交工程的，承包人应承担工程照管、成品保护、保管等与工程有关的各项费用，合同当事人可以在专用合同条款中另行约定承包人无正当理由不移交工程的违约责任。</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90" w:name="_Toc351203589"/>
      <w:bookmarkStart w:id="1791" w:name="_Toc296503111"/>
      <w:bookmarkStart w:id="1792" w:name="_Toc296346612"/>
      <w:bookmarkStart w:id="1793" w:name="_Toc337558807"/>
      <w:r>
        <w:rPr>
          <w:rFonts w:hint="eastAsia" w:ascii="宋体" w:hAnsi="宋体" w:cs="宋体"/>
          <w:b/>
          <w:bCs/>
          <w:color w:val="auto"/>
          <w:sz w:val="21"/>
          <w:szCs w:val="21"/>
          <w:highlight w:val="none"/>
          <w:lang w:val="en-US" w:eastAsia="zh-CN"/>
        </w:rPr>
        <w:t>13.3工程试车</w:t>
      </w:r>
      <w:bookmarkEnd w:id="1790"/>
    </w:p>
    <w:bookmarkEnd w:id="1791"/>
    <w:bookmarkEnd w:id="1792"/>
    <w:bookmarkEnd w:id="1793"/>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13.3.1试车程序</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工程需要试车的，除专用合同条款另有约定外，试车内容应与承包人承包范围相一致，试车费用由承包人承担。工程试车应按如下程序进行：</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具备单机无负荷试车条件，承包人组织试车，并在试车前48小时书面通知监理人，通知中应载明试车内容、时间、地点。承包人准备试车记录，发包人根据承包人要求为试车提供必要条件。试车合格的，监理人在试车记录上签字。监理人在试车合格后不在试车记录上签字，自试车结束满24小时后视为监理人已经认可试车记录，承包人可继续施工或办理竣工验收手续。</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监理人不能按时参加试车，应在试车前24小时以书面形式向承包人提出延期要求，但延期不能超过48小时，由此导致工期延误的，工期应予以顺延。监理人未能在前述期限内提出延期要求，又不参加试车的，视为认可试车记录。</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2）具备无负荷联动试车条件，发包人组织试车，并在试车前48小时以书面形式通知承包人。通知中应载明试车内容、时间、地点和对承包人的要求，承包人按要求做好准备工作。试车合格，合同当事人在试车记录上签字。承包人无正当理由不参加试车的，视为认可试车记录。</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13.3.2 试车中的责任</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13.3.3 投料试车</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如需进行投料试车的，发包人应在工程竣工验收后组织投料试车。发包人要求在工程竣工验收前进行或需要承包人配合时，应征得承包人同意，并在专用合同条款中约定有关事项。</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投料试车合格的，费用由发包人承担；因承包人原因造成投料试车不合格的，承包人应按照发包人要求进行整改，由此产生的整改费用由承包人承担；非因承包人原因导致投料试车不合格的，如发包人要求承包人进行整改的，由此产生的费用由发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94" w:name="_Toc351203590"/>
      <w:bookmarkStart w:id="1795" w:name="_Toc337558808"/>
      <w:r>
        <w:rPr>
          <w:rFonts w:hint="eastAsia" w:ascii="宋体" w:hAnsi="宋体" w:cs="宋体"/>
          <w:b/>
          <w:bCs/>
          <w:color w:val="auto"/>
          <w:sz w:val="21"/>
          <w:szCs w:val="21"/>
          <w:highlight w:val="none"/>
          <w:lang w:val="en-US" w:eastAsia="zh-CN"/>
        </w:rPr>
        <w:t>13.4提前交付单位工程的验收</w:t>
      </w:r>
      <w:bookmarkEnd w:id="1794"/>
    </w:p>
    <w:bookmarkEnd w:id="1795"/>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13.4.1 发包人需要在工程竣工前使用单位工程的，或承包人提出提前交付已经竣工的单位工程且经发包人同意的，可进行单位工程验收，验收的程序按照第13.2款〔竣工验收〕的约定进行。</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验收合格后，由监理人向承包人出具经发包人签认的单位工程接收证书。已签发单位工程接收证书的单位工程由发包人负责照管。单位工程的验收成果和结论作为整体工程竣工验收申请报告的附件。</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13.4.2 发包人要求在工程竣工前交付单位工程，由此导致承包人费用增加和（或）工期延误的，由发包人承担由此增加的费用和（或）延误的工期，并支付承包人合理的利润。</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96" w:name="_Toc351203591"/>
      <w:r>
        <w:rPr>
          <w:rFonts w:hint="eastAsia" w:ascii="宋体" w:hAnsi="宋体" w:cs="宋体"/>
          <w:b/>
          <w:bCs/>
          <w:color w:val="auto"/>
          <w:sz w:val="21"/>
          <w:szCs w:val="21"/>
          <w:highlight w:val="none"/>
          <w:lang w:val="en-US" w:eastAsia="zh-CN"/>
        </w:rPr>
        <w:t>13.5 施工期运行</w:t>
      </w:r>
      <w:bookmarkEnd w:id="1796"/>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13.5.1 施工期运行是指合同工程尚未全部竣工，其中某项或某几项单位工程或工程设备安装已竣工，根据专用合同条款约定，需要投入施工期运行的，经发包人按第13.4款〔提前交付单位工程的验收〕的约定验收合格，证明能确保安全后，才能在施工期投入运行。</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13.5.2 在施工期运行中发现工程或工程设备损坏或存在缺陷的，由承包人按第15.2款〔缺陷责任期〕约定进行修复。</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797" w:name="_Toc296346613"/>
      <w:bookmarkStart w:id="1798" w:name="_Toc296503112"/>
      <w:bookmarkStart w:id="1799" w:name="_Toc351203592"/>
      <w:bookmarkStart w:id="1800" w:name="_Toc337558809"/>
      <w:r>
        <w:rPr>
          <w:rFonts w:hint="eastAsia" w:ascii="宋体" w:hAnsi="宋体" w:cs="宋体"/>
          <w:b/>
          <w:bCs/>
          <w:color w:val="auto"/>
          <w:sz w:val="21"/>
          <w:szCs w:val="21"/>
          <w:highlight w:val="none"/>
          <w:lang w:val="en-US" w:eastAsia="zh-CN"/>
        </w:rPr>
        <w:t>13.6 完工退</w:t>
      </w:r>
      <w:bookmarkEnd w:id="1797"/>
      <w:bookmarkEnd w:id="1798"/>
      <w:r>
        <w:rPr>
          <w:rFonts w:hint="eastAsia" w:ascii="宋体" w:hAnsi="宋体" w:cs="宋体"/>
          <w:b/>
          <w:bCs/>
          <w:color w:val="auto"/>
          <w:sz w:val="21"/>
          <w:szCs w:val="21"/>
          <w:highlight w:val="none"/>
          <w:lang w:val="en-US" w:eastAsia="zh-CN"/>
        </w:rPr>
        <w:t>场</w:t>
      </w:r>
      <w:bookmarkEnd w:id="1799"/>
    </w:p>
    <w:bookmarkEnd w:id="1800"/>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13.6.1 完工退场</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颁发工程接收证书后，承包人应按以下要求对施工现场进行清理：</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（1）施工现场内残留的垃圾已全部清除出场；</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（2）临时工程已拆除，场地已进行清理、平整或复原；</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（3）按合同约定应撤离的人员、承包人施工设备和剩余的材料，包括废弃的施工设备和材料，已按计划撤离施工现场；</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（4）施工现场周边及其附近道路、河道的施工堆积物，已全部清理；</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（5）施工现场其他场地清理工作已全部完成。</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施工现场的完工退场费用由承包人承担。承包人应在专用合同条款约定的期限内完成完工退场，逾期未完成的，发包人有权出售或另行处理承包人遗留的物品，由此支出的费用由承包人承担，发包人出售承包人遗留物品所得款项在扣除必要费用后应返还承包人。</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13.6.2 地表还原</w:t>
      </w:r>
    </w:p>
    <w:p>
      <w:pPr>
        <w:pageBreakBefore w:val="0"/>
        <w:widowControl w:val="0"/>
        <w:kinsoku/>
        <w:wordWrap/>
        <w:overflowPunct/>
        <w:topLinePunct w:val="0"/>
        <w:bidi w:val="0"/>
        <w:snapToGrid/>
        <w:spacing w:line="360" w:lineRule="auto"/>
        <w:ind w:firstLine="420" w:firstLineChars="200"/>
        <w:jc w:val="left"/>
        <w:textAlignment w:val="auto"/>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承包人应按发包人要求恢复临时占地及清理场地，承包人未按发包人的要求恢复临时占地，或者场地清理未达到合同约定要求的，发包人有权委托其他人恢复或清理，所发生的费用由承包人承担。</w:t>
      </w:r>
    </w:p>
    <w:p>
      <w:pPr>
        <w:pStyle w:val="5"/>
        <w:spacing w:before="120" w:after="120" w:line="360" w:lineRule="auto"/>
        <w:outlineLvl w:val="3"/>
        <w:rPr>
          <w:rFonts w:hint="eastAsia" w:ascii="宋体" w:hAnsi="宋体" w:eastAsia="宋体" w:cs="宋体"/>
          <w:color w:val="auto"/>
          <w:sz w:val="24"/>
          <w:szCs w:val="24"/>
          <w:highlight w:val="none"/>
        </w:rPr>
      </w:pPr>
      <w:bookmarkStart w:id="1801" w:name="_Toc351203593"/>
      <w:bookmarkStart w:id="1802" w:name="_Toc337558810"/>
      <w:bookmarkStart w:id="1803" w:name="_Toc296503113"/>
      <w:bookmarkStart w:id="1804" w:name="_Toc296346614"/>
      <w:r>
        <w:rPr>
          <w:rFonts w:hint="eastAsia" w:ascii="宋体" w:hAnsi="宋体" w:eastAsia="宋体" w:cs="宋体"/>
          <w:color w:val="auto"/>
          <w:sz w:val="24"/>
          <w:szCs w:val="24"/>
          <w:highlight w:val="none"/>
        </w:rPr>
        <w:t>14. 完工结算</w:t>
      </w:r>
      <w:bookmarkEnd w:id="1801"/>
    </w:p>
    <w:bookmarkEnd w:id="1802"/>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05" w:name="_Toc351203594"/>
      <w:bookmarkStart w:id="1806" w:name="_Toc337558811"/>
      <w:r>
        <w:rPr>
          <w:rFonts w:hint="eastAsia" w:ascii="宋体" w:hAnsi="宋体" w:cs="宋体"/>
          <w:b/>
          <w:bCs/>
          <w:color w:val="auto"/>
          <w:sz w:val="21"/>
          <w:szCs w:val="21"/>
          <w:highlight w:val="none"/>
          <w:lang w:val="en-US" w:eastAsia="zh-CN"/>
        </w:rPr>
        <w:t>14.1 完工结算申请</w:t>
      </w:r>
      <w:bookmarkEnd w:id="1805"/>
    </w:p>
    <w:bookmarkEnd w:id="1806"/>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kern w:val="0"/>
          <w:szCs w:val="21"/>
          <w:highlight w:val="none"/>
        </w:rPr>
        <w:t>除专用合同条款另有约定外，</w:t>
      </w:r>
      <w:r>
        <w:rPr>
          <w:rFonts w:hint="eastAsia" w:ascii="宋体" w:hAnsi="宋体" w:cs="宋体"/>
          <w:color w:val="auto"/>
          <w:szCs w:val="21"/>
          <w:highlight w:val="none"/>
        </w:rPr>
        <w:t>承包人应在区农业农村局组织的初步验收合格后28天内向发包人和监理人提交完工结算申请单，并提交完整的结算资料，有关完工结算申请单的资料清单和份数等要求由合同当事人在专用合同条款中约定。</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除专用合同条款另有约定外，完工结算申请单应包括以下内容：</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（1）完工结算合同价格；</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（2）发包人已支付承包人的款项；</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 xml:space="preserve">（3）应扣留的质量保证金。已缴纳履约保证金的或提供其他工程质量担保方式的除外； </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（4）发包人应支付承包人的合同价款。</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07" w:name="_Toc351203595"/>
      <w:bookmarkStart w:id="1808" w:name="_Toc337558812"/>
      <w:r>
        <w:rPr>
          <w:rFonts w:hint="eastAsia" w:ascii="宋体" w:hAnsi="宋体" w:cs="宋体"/>
          <w:b/>
          <w:bCs/>
          <w:color w:val="auto"/>
          <w:sz w:val="21"/>
          <w:szCs w:val="21"/>
          <w:highlight w:val="none"/>
          <w:lang w:val="en-US" w:eastAsia="zh-CN"/>
        </w:rPr>
        <w:t>14.2 完工结算审核</w:t>
      </w:r>
      <w:bookmarkEnd w:id="1807"/>
    </w:p>
    <w:bookmarkEnd w:id="1808"/>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除专用合同条款另有约定外，监理人应在收到完工结算申请单后14天内完成核查并报送发包人。发包人应在收到监理人提交的经审核的完工结算申请单后14天内完成审批，并由监理人向承包人签发经发包人签认的完工付款证书。监理人或</w:t>
      </w:r>
      <w:r>
        <w:rPr>
          <w:rFonts w:hint="eastAsia" w:ascii="宋体" w:hAnsi="宋体" w:cs="宋体"/>
          <w:color w:val="auto"/>
          <w:szCs w:val="21"/>
          <w:highlight w:val="none"/>
        </w:rPr>
        <w:t>发包人对完工</w:t>
      </w:r>
      <w:r>
        <w:rPr>
          <w:rFonts w:hint="eastAsia" w:ascii="宋体" w:hAnsi="宋体" w:cs="宋体"/>
          <w:color w:val="auto"/>
          <w:kern w:val="0"/>
          <w:szCs w:val="21"/>
          <w:highlight w:val="none"/>
        </w:rPr>
        <w:t>结算</w:t>
      </w:r>
      <w:r>
        <w:rPr>
          <w:rFonts w:hint="eastAsia" w:ascii="宋体" w:hAnsi="宋体" w:cs="宋体"/>
          <w:color w:val="auto"/>
          <w:szCs w:val="21"/>
          <w:highlight w:val="none"/>
        </w:rPr>
        <w:t>申请单有异议的，有权要求承包人进行修正和提供补充资料，承包人应提交修正后的竣工</w:t>
      </w:r>
      <w:r>
        <w:rPr>
          <w:rFonts w:hint="eastAsia" w:ascii="宋体" w:hAnsi="宋体" w:cs="宋体"/>
          <w:color w:val="auto"/>
          <w:kern w:val="0"/>
          <w:szCs w:val="21"/>
          <w:highlight w:val="none"/>
        </w:rPr>
        <w:t>结算</w:t>
      </w:r>
      <w:r>
        <w:rPr>
          <w:rFonts w:hint="eastAsia" w:ascii="宋体" w:hAnsi="宋体" w:cs="宋体"/>
          <w:color w:val="auto"/>
          <w:szCs w:val="21"/>
          <w:highlight w:val="none"/>
        </w:rPr>
        <w:t>申请单。</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发包人在收到承包人提交完工结算申请书后28天内未完成审批且未提出异议的，视为发包人认可承包人提交的完工结算申请单，并自发包人收到承包人提交的完工结算申请单后第29天起视为已签发完工付款证书。</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（2）除专用合同条款另有约定外，发包人应在签发完工付款证书后的14 天内，完成对承包人的完工付款。发包人逾期支付的，按照中国人民银行发布的同期同类贷款基准利率支付违约金；逾期支付超过56天的，按照中国人民银行发布的同期同类贷款基准利率的两倍支付违约金。</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承包人对发包人签认的完工付款证书有异议的，对于有异议部分应在收到发包人签认的完工付款证书后7天内提出异议，并由合同当事人按照专用合同条款约定的方式和程序进行复核，或按照第20条〔争议解决〕约定处理。对于无异议部分，发包人应签发临时完工付款证书，并按本款第（2）项完成付款。承包人逾期未提出异议的，视为认可发包人的审批结果。</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09" w:name="_Toc351203596"/>
      <w:bookmarkStart w:id="1810" w:name="_Toc337558813"/>
      <w:r>
        <w:rPr>
          <w:rFonts w:hint="eastAsia" w:ascii="宋体" w:hAnsi="宋体" w:cs="宋体"/>
          <w:b/>
          <w:bCs/>
          <w:color w:val="auto"/>
          <w:sz w:val="21"/>
          <w:szCs w:val="21"/>
          <w:highlight w:val="none"/>
          <w:lang w:val="en-US" w:eastAsia="zh-CN"/>
        </w:rPr>
        <w:t>14.3 甩项竣工协议</w:t>
      </w:r>
      <w:bookmarkEnd w:id="1809"/>
    </w:p>
    <w:bookmarkEnd w:id="1810"/>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要求甩项竣工的，合同当事人应签订甩项竣工协议。在甩项竣工协议中应明确，合同当事人按照第14.1款〔竣工结算申请〕及14.2款〔竣工结算审核〕的约定，对已完合格工程进行结算，并支付相应合同价款。</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11" w:name="_Toc351203597"/>
      <w:bookmarkStart w:id="1812" w:name="_Toc337558814"/>
      <w:r>
        <w:rPr>
          <w:rFonts w:hint="eastAsia" w:ascii="宋体" w:hAnsi="宋体" w:cs="宋体"/>
          <w:b/>
          <w:bCs/>
          <w:color w:val="auto"/>
          <w:sz w:val="21"/>
          <w:szCs w:val="21"/>
          <w:highlight w:val="none"/>
          <w:lang w:val="en-US" w:eastAsia="zh-CN"/>
        </w:rPr>
        <w:t>14.4 最终结清</w:t>
      </w:r>
      <w:bookmarkEnd w:id="1811"/>
    </w:p>
    <w:bookmarkEnd w:id="1812"/>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14.4.1 最终结清申请单</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（1）除专用合同条款另有约定外，承包人应在缺陷责任期终止证书颁发后7天内，按专用合同条款约定的份数向发包人提交最终结清申请单，并提供相关证明材料。</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除专用合同条款另有约定外，</w:t>
      </w:r>
      <w:r>
        <w:rPr>
          <w:rFonts w:hint="eastAsia" w:ascii="宋体" w:hAnsi="宋体" w:cs="宋体"/>
          <w:color w:val="auto"/>
          <w:kern w:val="0"/>
          <w:szCs w:val="21"/>
          <w:highlight w:val="none"/>
        </w:rPr>
        <w:t>最终结清申请单</w:t>
      </w:r>
      <w:r>
        <w:rPr>
          <w:rFonts w:hint="eastAsia" w:ascii="宋体" w:hAnsi="宋体" w:cs="宋体"/>
          <w:color w:val="auto"/>
          <w:szCs w:val="21"/>
          <w:highlight w:val="none"/>
        </w:rPr>
        <w:t>应列明质量保证金、应扣除的质量保证金、缺陷责任期内发生的增减费用。</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（2）发包人对最终结清申请单内容有异议的，有权要求承包人进行修正和提供补充资料，承包人应向发包人提交修正后的最终结清申请单。</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14.4.2 最终结清证书和支付</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除专用合同条款另有约定外，发包人应在收到承包人提交的最终结清申请单后14天内完成审批并向承包人颁发最终结清证书。发包人逾期未完成审批，又未提出修改意见的，视为发包人同意承包人提交的最终结清申请单，且自发包人收到承包人提交的最终结清申请单后15天起视为已颁发最终结清证书。</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除专用合同条款另有约定外，发包人应在颁发最终结清证书后7天内完成支付。发包人逾期支付的，按照中国人民银行发布的同期同类贷款基准利率支付违约金；逾期支付超过56天的，按照中国人民银行发布的同期同类贷款基准利率的两倍支付违约金。</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（3）承包人对发包人颁发的最终结清证书有异议的，按第20条〔争议解决〕的约定办理。</w:t>
      </w:r>
    </w:p>
    <w:p>
      <w:pPr>
        <w:pStyle w:val="5"/>
        <w:spacing w:before="120" w:after="120" w:line="360" w:lineRule="auto"/>
        <w:outlineLvl w:val="3"/>
        <w:rPr>
          <w:rFonts w:hint="eastAsia" w:ascii="宋体" w:hAnsi="宋体" w:eastAsia="宋体" w:cs="宋体"/>
          <w:color w:val="auto"/>
          <w:sz w:val="24"/>
          <w:szCs w:val="24"/>
          <w:highlight w:val="none"/>
        </w:rPr>
      </w:pPr>
      <w:bookmarkStart w:id="1813" w:name="_Toc351203598"/>
      <w:bookmarkStart w:id="1814" w:name="_Toc337558815"/>
      <w:r>
        <w:rPr>
          <w:rFonts w:hint="eastAsia" w:ascii="宋体" w:hAnsi="宋体" w:eastAsia="宋体" w:cs="宋体"/>
          <w:color w:val="auto"/>
          <w:sz w:val="24"/>
          <w:szCs w:val="24"/>
          <w:highlight w:val="none"/>
        </w:rPr>
        <w:t>15. 缺陷责任与保修</w:t>
      </w:r>
      <w:bookmarkEnd w:id="1813"/>
    </w:p>
    <w:bookmarkEnd w:id="1803"/>
    <w:bookmarkEnd w:id="1804"/>
    <w:bookmarkEnd w:id="1814"/>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15" w:name="_Toc351203599"/>
      <w:bookmarkStart w:id="1816" w:name="_Toc337558816"/>
      <w:bookmarkStart w:id="1817" w:name="_Toc296346615"/>
      <w:bookmarkStart w:id="1818" w:name="_Toc296503114"/>
      <w:r>
        <w:rPr>
          <w:rFonts w:hint="eastAsia" w:ascii="宋体" w:hAnsi="宋体" w:cs="宋体"/>
          <w:b/>
          <w:bCs/>
          <w:color w:val="auto"/>
          <w:sz w:val="21"/>
          <w:szCs w:val="21"/>
          <w:highlight w:val="none"/>
          <w:lang w:val="en-US" w:eastAsia="zh-CN"/>
        </w:rPr>
        <w:t>15.1 工程保修的原则</w:t>
      </w:r>
      <w:bookmarkEnd w:id="1815"/>
    </w:p>
    <w:bookmarkEnd w:id="1816"/>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在工程移交发包人后，因承包人原因产生的质量缺陷，承包人应承担质量缺陷责任和保修义务。缺陷责任期届满，承包人仍应按合同约定的工程各部位保修年限承担保修义务。</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19" w:name="_Toc351203600"/>
      <w:bookmarkStart w:id="1820" w:name="_Toc337558817"/>
      <w:r>
        <w:rPr>
          <w:rFonts w:hint="eastAsia" w:ascii="宋体" w:hAnsi="宋体" w:cs="宋体"/>
          <w:b/>
          <w:bCs/>
          <w:color w:val="auto"/>
          <w:sz w:val="21"/>
          <w:szCs w:val="21"/>
          <w:highlight w:val="none"/>
          <w:lang w:val="en-US" w:eastAsia="zh-CN"/>
        </w:rPr>
        <w:t>15.2 缺陷责任期</w:t>
      </w:r>
      <w:bookmarkEnd w:id="1817"/>
      <w:bookmarkEnd w:id="1818"/>
      <w:bookmarkEnd w:id="1819"/>
    </w:p>
    <w:bookmarkEnd w:id="1820"/>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15.2.1 缺陷责任期从工程通过竣工验收之日起计算，合同当事人应在专用合同条款约定缺陷责任期的具体期限，但该期限最长不超过24个月。</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单位工程先于全部工程进行验收，经验收合格并交付使用的，该单位工程缺陷责任期自单位工程验收合格之日起算。因承包人原因导致工程无法按合同约定期限进行竣工验收的，缺陷责任期从实际通过竣工验收之日起计算。因发包人原因导致工程无法按合同约定期限进行竣工验收的，在承包人提交竣工验收报告90天后，工程自动进入缺陷责任期；发包人未经竣工验收擅自使用工程的，缺陷责任期自工程转移占有之日起开始计算。</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15.2.2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不免除对工程的损失赔偿责任。发包人有权要求承</w:t>
      </w:r>
      <w:r>
        <w:rPr>
          <w:rFonts w:hint="eastAsia" w:ascii="宋体" w:hAnsi="宋体" w:cs="宋体"/>
          <w:bCs/>
          <w:color w:val="auto"/>
          <w:szCs w:val="21"/>
          <w:highlight w:val="none"/>
        </w:rPr>
        <w:t>包人延长缺陷责任期，</w:t>
      </w:r>
      <w:r>
        <w:rPr>
          <w:rFonts w:hint="eastAsia" w:ascii="宋体" w:hAnsi="宋体" w:cs="宋体"/>
          <w:color w:val="auto"/>
          <w:kern w:val="0"/>
          <w:szCs w:val="21"/>
          <w:highlight w:val="none"/>
        </w:rPr>
        <w:t>并应在原缺陷责任期届满前发出延长通知。</w:t>
      </w:r>
      <w:r>
        <w:rPr>
          <w:rFonts w:hint="eastAsia" w:ascii="宋体" w:hAnsi="宋体" w:cs="宋体"/>
          <w:bCs/>
          <w:color w:val="auto"/>
          <w:szCs w:val="21"/>
          <w:highlight w:val="none"/>
        </w:rPr>
        <w:t>但缺陷责任期（含延长部分）最长</w:t>
      </w:r>
      <w:r>
        <w:rPr>
          <w:rFonts w:hint="eastAsia" w:ascii="宋体" w:hAnsi="宋体" w:cs="宋体"/>
          <w:color w:val="auto"/>
          <w:kern w:val="0"/>
          <w:szCs w:val="21"/>
          <w:highlight w:val="none"/>
        </w:rPr>
        <w:t>不能超过24个月。</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由他人原因造成的缺陷，发包人负责组织维修，承包人不承担费用，且发包人不得从保证金中扣除费用。</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15.2.3 任何一项缺陷或损坏修复后，经检查证明其影响了工程或工程设备的使用性能，承包人应重新进行合同约定的试验和试运行，试验和试运行的全部费用应由责任方承担。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15.2.4 除专用合同条款另有约定外，承包人应于缺陷责任期届满后7天内向发包人发出缺陷责任期届满通知，发包人应在收到缺陷责任期满通知后14天内核实承包人是否履行缺陷修复义务，承包人未能履行缺陷修复义务的，发包人有权扣除相应金额的维修费用。发包人应在收到缺陷责任期届满通知后14天内，向承包人颁发缺陷责任期终止证书。</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21" w:name="_Toc351203601"/>
      <w:bookmarkStart w:id="1822" w:name="_Toc337558818"/>
      <w:bookmarkStart w:id="1823" w:name="_Toc296503115"/>
      <w:bookmarkStart w:id="1824" w:name="_Toc296346616"/>
      <w:r>
        <w:rPr>
          <w:rFonts w:hint="eastAsia" w:ascii="宋体" w:hAnsi="宋体" w:cs="宋体"/>
          <w:b/>
          <w:bCs/>
          <w:color w:val="auto"/>
          <w:sz w:val="21"/>
          <w:szCs w:val="21"/>
          <w:highlight w:val="none"/>
          <w:lang w:val="en-US" w:eastAsia="zh-CN"/>
        </w:rPr>
        <w:t>15.3 质量保证金</w:t>
      </w:r>
      <w:bookmarkEnd w:id="1821"/>
    </w:p>
    <w:bookmarkEnd w:id="1822"/>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经合同当事人协商一致扣留质量保证金的，应在专用合同条款中予以明确。</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在工程项目竣工前，承包人已经提供履约担保的，发包人不得同时预留工程质量保证金。</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15.3.1 承包人提供质量保证金的方式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承包人提供质量保证金有以下三种方式：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（1）质量保证金保函； </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（2）相应比例的工程款；</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（3）双方约定的其他方式。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除专用合同条款另有约定外，质量保证金原则上采用上述第（1）种方式。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15.3.2 质量保证金的扣留</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质量保证金的扣留有以下三种方式：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（1）在支付工程进度款时逐次扣留，在此情形下，质量保证金的计算基数不包括预付款的支付、扣回以及价格调整的金额；</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（2）工</w:t>
      </w:r>
      <w:bookmarkStart w:id="1825" w:name="#go6"/>
      <w:bookmarkEnd w:id="1825"/>
      <w:r>
        <w:rPr>
          <w:rFonts w:hint="eastAsia" w:ascii="宋体" w:hAnsi="宋体" w:cs="宋体"/>
          <w:color w:val="auto"/>
          <w:kern w:val="0"/>
          <w:szCs w:val="21"/>
          <w:highlight w:val="none"/>
        </w:rPr>
        <w:t>程竣工结算时一次性扣留质量保证金；</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（3）双方约定的其他扣留方式。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除专用合同条款另有约定外，质量保证金的扣留原则上采用上述第（1）种方式。</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w:t>
      </w:r>
      <w:bookmarkStart w:id="1826" w:name="#go4"/>
      <w:bookmarkEnd w:id="1826"/>
      <w:r>
        <w:rPr>
          <w:rFonts w:hint="eastAsia" w:ascii="宋体" w:hAnsi="宋体" w:cs="宋体"/>
          <w:color w:val="auto"/>
          <w:kern w:val="0"/>
          <w:szCs w:val="21"/>
          <w:highlight w:val="none"/>
        </w:rPr>
        <w:t>包人累计扣留的质量保证金不得超过工程价款结算总额的1.5%。如承包人在发包人签发竣工付款证书后28天内提交质量保证金保函，发包人应同时退还扣留的作为质量保证金的工程价款；保函金额不得超过工程价款结算总额的1.5%。</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发包人在退还质量保证金的同时按照中国人民银行发布的同期同类贷款基准利率支付利息。</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15.3.3 </w:t>
      </w:r>
      <w:r>
        <w:rPr>
          <w:rFonts w:hint="eastAsia" w:ascii="宋体" w:hAnsi="宋体" w:cs="宋体"/>
          <w:color w:val="auto"/>
          <w:szCs w:val="21"/>
          <w:highlight w:val="none"/>
        </w:rPr>
        <w:t>质量保证金</w:t>
      </w:r>
      <w:r>
        <w:rPr>
          <w:rFonts w:hint="eastAsia" w:ascii="宋体" w:hAnsi="宋体" w:cs="宋体"/>
          <w:color w:val="auto"/>
          <w:kern w:val="0"/>
          <w:szCs w:val="21"/>
          <w:highlight w:val="none"/>
        </w:rPr>
        <w:t>的退还</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缺陷责任期内，承包人认真履行合同约定的责任，到期后，承包人可向发包人申请返还保证金。</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在接到承包人返还保证金申请后，应于14天内会同承包人按照合同约定的内容进行核实。如无异议，发包人应当按照约定将保证金返还给承包人。对返还期限没有约定或者约定不明确的，发包人应当在核实后14天内将保证金返还承包人，逾期未返还的，依法承担违约责任。发包人在接到承包人返还保证金申请后14天内不予答复，经催告后14天内仍不予答复，视同认可承包人的返还保证金申请。</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发包人和承包人对保证金预留、返还以及工程维修质量、费用有争议的，按本合同第20条约定的争议和纠纷解决程序处理。</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27" w:name="_Toc351203602"/>
      <w:bookmarkStart w:id="1828" w:name="_Toc337558819"/>
      <w:r>
        <w:rPr>
          <w:rFonts w:hint="eastAsia" w:ascii="宋体" w:hAnsi="宋体" w:cs="宋体"/>
          <w:b/>
          <w:bCs/>
          <w:color w:val="auto"/>
          <w:sz w:val="21"/>
          <w:szCs w:val="21"/>
          <w:highlight w:val="none"/>
          <w:lang w:val="en-US" w:eastAsia="zh-CN"/>
        </w:rPr>
        <w:t>15.4 保修</w:t>
      </w:r>
      <w:bookmarkEnd w:id="1827"/>
    </w:p>
    <w:bookmarkEnd w:id="1823"/>
    <w:bookmarkEnd w:id="1824"/>
    <w:bookmarkEnd w:id="1828"/>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15.4.1保修责任</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发包人未经竣工验收擅自使用工程的，保修期自</w:t>
      </w:r>
      <w:r>
        <w:rPr>
          <w:rFonts w:hint="eastAsia" w:ascii="宋体" w:hAnsi="宋体" w:cs="宋体"/>
          <w:color w:val="auto"/>
          <w:kern w:val="0"/>
          <w:szCs w:val="21"/>
          <w:highlight w:val="none"/>
        </w:rPr>
        <w:t>转移占有之日起算</w:t>
      </w:r>
      <w:r>
        <w:rPr>
          <w:rFonts w:hint="eastAsia" w:ascii="宋体" w:hAnsi="宋体" w:cs="宋体"/>
          <w:color w:val="auto"/>
          <w:szCs w:val="21"/>
          <w:highlight w:val="none"/>
        </w:rPr>
        <w:t>。</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15.4.2 修复费用</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保修期内，修复的费用按照以下约定处理：</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（1）保修期内，因承包人原因造成工程的缺陷、损坏，承包人应负责修复，并承担修复的费用以及因工程的缺陷、损坏造成的人身伤害和财产损失；</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（2）保修期内，因发包人使用不当造成工程的缺陷、损坏，可以委托承包人修复，但发包人应承担修复的费用，并支付承包人合理利润；</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（3）因其他原因造成工程的缺陷、损坏，可以委托承包人修复，发包人应承担修复的费用，并支付承包人合理的利润，因工程的缺陷、损坏造成的人身伤害和财产损失由责任方承担。</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15.4.3 修复通知</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专用合同条款约定的合理期限内到达工程现场并修复缺陷或损坏。</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15.4.4 未能修复</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承包人原因造成工程的缺陷或损坏，承包人拒绝维修或未能在合理期限内修复缺陷或损坏，且经发包人书面催告后仍未修复的，发包人有权自行修复或委托第三方修复，所需费用由承包人承担。但修复范围超出缺陷或损坏范围的，超出范围部分的修复费用由发包人承担。</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15.4.5 承包人出入权</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保修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保安和保密等规定。</w:t>
      </w:r>
    </w:p>
    <w:p>
      <w:pPr>
        <w:pStyle w:val="5"/>
        <w:spacing w:before="120" w:after="120" w:line="360" w:lineRule="auto"/>
        <w:outlineLvl w:val="3"/>
        <w:rPr>
          <w:rFonts w:hint="eastAsia" w:ascii="宋体" w:hAnsi="宋体" w:eastAsia="宋体" w:cs="宋体"/>
          <w:color w:val="auto"/>
          <w:sz w:val="24"/>
          <w:szCs w:val="24"/>
          <w:highlight w:val="none"/>
        </w:rPr>
      </w:pPr>
      <w:bookmarkStart w:id="1829" w:name="_Toc351203603"/>
      <w:bookmarkStart w:id="1830" w:name="_Toc337558820"/>
      <w:r>
        <w:rPr>
          <w:rFonts w:hint="eastAsia" w:ascii="宋体" w:hAnsi="宋体" w:eastAsia="宋体" w:cs="宋体"/>
          <w:color w:val="auto"/>
          <w:sz w:val="24"/>
          <w:szCs w:val="24"/>
          <w:highlight w:val="none"/>
        </w:rPr>
        <w:t>16. 违约</w:t>
      </w:r>
      <w:bookmarkEnd w:id="1829"/>
    </w:p>
    <w:bookmarkEnd w:id="1830"/>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31" w:name="_Toc296346630"/>
      <w:bookmarkStart w:id="1832" w:name="_Toc296503129"/>
      <w:bookmarkStart w:id="1833" w:name="_Toc351203604"/>
      <w:bookmarkStart w:id="1834" w:name="_Toc337558821"/>
      <w:r>
        <w:rPr>
          <w:rFonts w:hint="eastAsia" w:ascii="宋体" w:hAnsi="宋体" w:cs="宋体"/>
          <w:b/>
          <w:bCs/>
          <w:color w:val="auto"/>
          <w:sz w:val="21"/>
          <w:szCs w:val="21"/>
          <w:highlight w:val="none"/>
          <w:lang w:val="en-US" w:eastAsia="zh-CN"/>
        </w:rPr>
        <w:t>16.1 发</w:t>
      </w:r>
      <w:bookmarkEnd w:id="1831"/>
      <w:bookmarkEnd w:id="1832"/>
      <w:r>
        <w:rPr>
          <w:rFonts w:hint="eastAsia" w:ascii="宋体" w:hAnsi="宋体" w:cs="宋体"/>
          <w:b/>
          <w:bCs/>
          <w:color w:val="auto"/>
          <w:sz w:val="21"/>
          <w:szCs w:val="21"/>
          <w:highlight w:val="none"/>
          <w:lang w:val="en-US" w:eastAsia="zh-CN"/>
        </w:rPr>
        <w:t>包人违约</w:t>
      </w:r>
      <w:bookmarkEnd w:id="1833"/>
    </w:p>
    <w:bookmarkEnd w:id="1834"/>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16.1.1 发包人违约的情形</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在合同履行过程中发生的下列情形，属于发包人违约：</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（1）因发包人原因未能在计划开工日期前7天内下达开工通知的；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（2）因发包人原因未能按合同约定支付合同价款的；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（3）发包人违反第10.1款〔变更的范围〕第（2）项约定，自行实施被取消的工作或转由他人实施的；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（4）发包人提供的材料、工程设备的规格、数量或质量不符合合同约定，或因发包人原因导致交货日期延误或交货地点变更等情况的；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（5）因发包人违反合同约定造成暂停施工的；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（6）发包人无正当理由没有在约定期限内发出复工指示，导致承包人无法复工的；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（7）发包人明确表示或者以其行为表明不履行合同主要义务的；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（8）发包人未能按照合同约定履行其他义务的。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发生除本项第（7）目以外的违约情况时，承包人可向发包人发出通知，要求发包人采取有效措施纠正违约行为。发包人收到承包人通知后28天内仍不纠正违约行为的，承包人有权暂停相应部位工程施工，并通知监理人。</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16.1.2 发包人违约的责任</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发包人应承担因其违约给承包人增加的费用和（或）延误的工期，并支付承包人合理的利润。此外，合同当事人可在专用合同条款中另行约定发包人违约责任的承担方式和计算方法。</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16.1.3 因发包人违约解除合同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承包人按第16.1.1项〔发包人违约的情形〕约定暂停施工满28天后，发包人仍不纠正其违约行为并致使合同目的不能实现的，或出现第16.1.1项〔发包人违约的情形〕第（7）目约定的违约情况，承包人有权解除合同，发包人应承担由此增加的费用，并支付承包人合理的利润。</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kern w:val="0"/>
          <w:szCs w:val="21"/>
          <w:highlight w:val="none"/>
        </w:rPr>
        <w:t>16.1.4 因发包人违约解除合同后的付款</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承包人按照本款约定解除合同的，发包人应在解除合同后28天内支付下列款项，并解除履约担保：</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（1）合同解除前所完成工作的价款；</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（2）承包人为工程施工订购并已付款的材料、工程设备和其他物品的价款；</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（3）承包人撤离施工现场以及遣散承包人人员的款项；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（4）按照合同约定在合同解除前应支付的违约金；</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（5）按照合同约定应当支付给承包人的其他款项；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（6）按照合同约定应退还的质量保证金；</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（7）因解除合同给承包人造成的损失。</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合同当事人未能就解除合同后的结清达成一致的，按照第20条〔争议解决〕的约定处理。</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承包人应妥善做好已完工程和与工程有关的已购材料、工程设备的保护和移交工作，并将施工设备和人员撤出施工现场，发包人应为承包人撤出提供必要条件。</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35" w:name="_Toc351203605"/>
      <w:bookmarkStart w:id="1836" w:name="_Toc296346632"/>
      <w:bookmarkStart w:id="1837" w:name="_Toc296503131"/>
      <w:bookmarkStart w:id="1838" w:name="_Toc337558822"/>
      <w:r>
        <w:rPr>
          <w:rFonts w:hint="eastAsia" w:ascii="宋体" w:hAnsi="宋体" w:cs="宋体"/>
          <w:b/>
          <w:bCs/>
          <w:color w:val="auto"/>
          <w:sz w:val="21"/>
          <w:szCs w:val="21"/>
          <w:highlight w:val="none"/>
          <w:lang w:val="en-US" w:eastAsia="zh-CN"/>
        </w:rPr>
        <w:t>16.2 承包人违约</w:t>
      </w:r>
      <w:bookmarkEnd w:id="1835"/>
    </w:p>
    <w:bookmarkEnd w:id="1836"/>
    <w:bookmarkEnd w:id="1837"/>
    <w:bookmarkEnd w:id="1838"/>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16.2.1 承包人违约的情形</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在合同履行过程中发生的下列情形，属于承包人违约：</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（1）承包人违反合同约定进行转包或违法分包的；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（2）承包人违反合同约定采购和使用不合格的材料和工程设备的；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（3）因承包人原因导致工程质量不符合合同要求的； </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（4）承包人违反第8.9款〔材料与设备专用要求〕的约定，未经批准，私自将已按照合同约定进入施工现场的材料或设备撤离施工现场的；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（5）承包人未能按施工进度计划及时完成合同约定的工作，造成工期延误的；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（6）承包人在缺陷责任期及保修期内，未能在合理期限对工程缺陷进行修复，或拒绝按发包人要求进行修复的；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（7）承包人明确表示或者以其行为表明不履行合同主要义务的；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（8）承包人未能按照合同约定履行其他义务的。</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承包人发生除本项第（7）目约定以外的其他违约情况时，监理人可向承包人发出整改通知，要求其在指定的期限内改正。</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16.2.2 承包人违约的责任</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承包人应承担因其违约行为而增加的费用和（或）延误的工期。此外，合同当事人可在专用合同条款中另行约定承包人违约责任的承担方式和计算方法。</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16.2.3 因承包人违约解除合同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出现第16.2.1项〔承包人违约的情形〕第（7）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合同当事人应在专用合同条款约定相应费用的承担方式。发包人继续使用的行为不免除或减轻承包人应承担的违约责任。</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16.2.4因承包人违约解除合同后的处理</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因承包人原因导致合同解除的，则合同当事人应在合同解除后28天内完成估价、付款和清算，并按以下约定执行：</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（1）合同解除后，按第4.4款〔商定或确定〕商定或确定承包人实际完成工作对应的合同价款，以及承包人已提供的材料、工程设备、施工设备和临时工程等的价值；</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（2）合同解除后，承包人应支付的违约金；</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（3）合同解除后，因解除合同给发包人造成的损失；</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（4）合同解除后，承包人应按照发包人要求和监理人的指示完成现场的清理和撤离；</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（5）发包人和承包人应在合同解除后进行清算，出具最终结清付款证书，结清全部款项。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因承包人违约解除合同的，发包人有权暂停对承包人的付款，查清各项付款和已扣款项。发包人和承包人未能就合同解除后的清算和款项支付达成一致的，按照第20条〔争议解决〕的约定处理。</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16.2.5采购合同权益转让</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承包人违约解除合同的，发包人有权要求承包人将其为实施合同而签订的材料和设备的采购合同的权益转让给发包人，承包人应在收到解除合同通知后14天内，协助发包人与采购合同的供应商达成相关的转让协议。</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39" w:name="_Toc351203606"/>
      <w:r>
        <w:rPr>
          <w:rFonts w:hint="eastAsia" w:ascii="宋体" w:hAnsi="宋体" w:cs="宋体"/>
          <w:b/>
          <w:bCs/>
          <w:color w:val="auto"/>
          <w:sz w:val="21"/>
          <w:szCs w:val="21"/>
          <w:highlight w:val="none"/>
          <w:lang w:val="en-US" w:eastAsia="zh-CN"/>
        </w:rPr>
        <w:t>16.3 第三人造成的违约</w:t>
      </w:r>
      <w:bookmarkEnd w:id="1839"/>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在履行合同过程中，一方当事人因第三人的原因造成违约的，应当向对方当事人承担违约责任。一方当事人和第三人之间的纠纷，依照法律规定或者按照约定解决。</w:t>
      </w:r>
    </w:p>
    <w:p>
      <w:pPr>
        <w:pStyle w:val="5"/>
        <w:spacing w:before="120" w:after="120" w:line="360" w:lineRule="auto"/>
        <w:outlineLvl w:val="3"/>
        <w:rPr>
          <w:rFonts w:hint="eastAsia" w:ascii="宋体" w:hAnsi="宋体" w:eastAsia="宋体" w:cs="宋体"/>
          <w:color w:val="auto"/>
          <w:sz w:val="24"/>
          <w:szCs w:val="24"/>
          <w:highlight w:val="none"/>
        </w:rPr>
      </w:pPr>
      <w:bookmarkStart w:id="1840" w:name="_Toc351203607"/>
      <w:bookmarkStart w:id="1841" w:name="_Toc337558823"/>
      <w:bookmarkStart w:id="1842" w:name="_Toc296503116"/>
      <w:bookmarkStart w:id="1843" w:name="_Toc296346617"/>
      <w:r>
        <w:rPr>
          <w:rFonts w:hint="eastAsia" w:ascii="宋体" w:hAnsi="宋体" w:eastAsia="宋体" w:cs="宋体"/>
          <w:color w:val="auto"/>
          <w:sz w:val="24"/>
          <w:szCs w:val="24"/>
          <w:highlight w:val="none"/>
        </w:rPr>
        <w:t>17. 不可抗力</w:t>
      </w:r>
      <w:bookmarkEnd w:id="1840"/>
      <w:bookmarkEnd w:id="1841"/>
      <w:bookmarkEnd w:id="1842"/>
      <w:bookmarkEnd w:id="1843"/>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44" w:name="_Toc351203608"/>
      <w:bookmarkStart w:id="1845" w:name="_Toc296346618"/>
      <w:bookmarkStart w:id="1846" w:name="_Toc337558824"/>
      <w:bookmarkStart w:id="1847" w:name="_Toc296503117"/>
      <w:r>
        <w:rPr>
          <w:rFonts w:hint="eastAsia" w:ascii="宋体" w:hAnsi="宋体" w:cs="宋体"/>
          <w:b/>
          <w:bCs/>
          <w:color w:val="auto"/>
          <w:sz w:val="21"/>
          <w:szCs w:val="21"/>
          <w:highlight w:val="none"/>
          <w:lang w:val="en-US" w:eastAsia="zh-CN"/>
        </w:rPr>
        <w:t>17.1 不可抗力的确认</w:t>
      </w:r>
      <w:bookmarkEnd w:id="1844"/>
    </w:p>
    <w:bookmarkEnd w:id="1845"/>
    <w:bookmarkEnd w:id="1846"/>
    <w:bookmarkEnd w:id="1847"/>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不可抗力是指合同当事人在签订合同时不可预见，在合同履行过程中不可避免且不能克服的自然灾害和社会性突发事件，如地震、海啸、瘟疫、骚乱、戒严、暴动、战争和专用合同条款中约定的其他情形。</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不可抗力发生后，发包人和承包人应收集证明不可抗力发生及不可抗力造成损失的证据，并及时认真统计所造成的损失。合同当事人对是否属于不可抗力或其损失的意见不一致的，由监理人按第4.4款〔商定或确定〕的约定处理。发生争议时，按第20条〔争议解决〕的约定处理。</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48" w:name="_Toc351203609"/>
      <w:bookmarkStart w:id="1849" w:name="_Toc296503118"/>
      <w:bookmarkStart w:id="1850" w:name="_Toc296346619"/>
      <w:bookmarkStart w:id="1851" w:name="_Toc337558825"/>
      <w:r>
        <w:rPr>
          <w:rFonts w:hint="eastAsia" w:ascii="宋体" w:hAnsi="宋体" w:cs="宋体"/>
          <w:b/>
          <w:bCs/>
          <w:color w:val="auto"/>
          <w:sz w:val="21"/>
          <w:szCs w:val="21"/>
          <w:highlight w:val="none"/>
          <w:lang w:val="en-US" w:eastAsia="zh-CN"/>
        </w:rPr>
        <w:t>17.2 不可抗力的通知</w:t>
      </w:r>
      <w:bookmarkEnd w:id="1848"/>
    </w:p>
    <w:bookmarkEnd w:id="1849"/>
    <w:bookmarkEnd w:id="1850"/>
    <w:bookmarkEnd w:id="1851"/>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合同一方当事人遇到不可抗力事件，使其履行合同义务受到阻碍时，应立即通知合同另一方当事人和监理人，书面说明不可抗力和受阻碍的详细情况，并提供必要的证明。</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不可抗力持续发生的，合同一方当事人应及时向合同另一方当事人和监理人提交中间报告，说明不可抗力和履行合同受阻的情况，并于不可抗力事件结束后28天内提交最终报告及有关资料。</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52" w:name="_Toc351203610"/>
      <w:bookmarkStart w:id="1853" w:name="_Toc337558826"/>
      <w:bookmarkStart w:id="1854" w:name="_Toc296503119"/>
      <w:bookmarkStart w:id="1855" w:name="_Toc296346620"/>
      <w:r>
        <w:rPr>
          <w:rFonts w:hint="eastAsia" w:ascii="宋体" w:hAnsi="宋体" w:cs="宋体"/>
          <w:b/>
          <w:bCs/>
          <w:color w:val="auto"/>
          <w:sz w:val="21"/>
          <w:szCs w:val="21"/>
          <w:highlight w:val="none"/>
          <w:lang w:val="en-US" w:eastAsia="zh-CN"/>
        </w:rPr>
        <w:t>17.3 不可抗力后果的承担</w:t>
      </w:r>
      <w:bookmarkEnd w:id="1852"/>
    </w:p>
    <w:bookmarkEnd w:id="1853"/>
    <w:bookmarkEnd w:id="1854"/>
    <w:bookmarkEnd w:id="1855"/>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17.3.1 不可抗力引起的后果及造成的损失由合同当事人按照法律规定及合同约定各自承担。不可抗力发生前已完成的工程应当按照合同约定进行计量支付。</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17.3.2 不可抗力导致的人员伤亡、财产损失、费用增加和（或）工期延误等后果，由合同当事人按以下原则承担：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（1）永久工程、已运至施工现场的材料和工程设备的损坏，以及因工程损坏造成的第三人人员伤亡和财产损失由发包人承担；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（2）承包人施工设备的损坏由承包人承担；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（3）发包人和承包人承担各自人员伤亡和财产的损失；</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（4）因不可抗力影响承包人履行合同约定的义务，已经引起或将引起工期延误的，应当顺延工期，由此导致承包人停工的费用损失由发包人和承包人合理分担，停工期间必须支付的工人工资由发包人承担；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（5）因不可抗力引起或将引起工期延误，发包人要求赶工的，由此增加的赶工费用由发包人承担；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（6）承包人在停工期间按照发包人要求照管、清理和修复工程的费用由发包人承担。</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不可抗力发生后，合同当事人均应采取措施尽量避免和减少损失的扩大，任何一方当事人没有采取有效措施导致损失扩大的，应对扩大的损失承担责任。</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因合同一方迟延履行合同义务，在迟延履行期间遭遇不可抗力的，不免除其违约责任。</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56" w:name="_Toc351203611"/>
      <w:bookmarkStart w:id="1857" w:name="_Toc337558827"/>
      <w:r>
        <w:rPr>
          <w:rFonts w:hint="eastAsia" w:ascii="宋体" w:hAnsi="宋体" w:cs="宋体"/>
          <w:b/>
          <w:bCs/>
          <w:color w:val="auto"/>
          <w:sz w:val="21"/>
          <w:szCs w:val="21"/>
          <w:highlight w:val="none"/>
          <w:lang w:val="en-US" w:eastAsia="zh-CN"/>
        </w:rPr>
        <w:t>17.4 因不可抗力解除合同</w:t>
      </w:r>
      <w:bookmarkEnd w:id="1856"/>
    </w:p>
    <w:bookmarkEnd w:id="1857"/>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因不可抗力导致合同无法履行连续超过84天或累计超过140天的，发包人和承包人均有权解除合同。合同解除后，由双方当事人按照第4.4款〔商定或确定〕商定或确定发包人应支付的款项，该款项包括：</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（1）合同解除前承包人已完成工作的价款；</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（2）承包人为工程订购的并已交付给承包人，或承包人有责任接受交付的材料、工程设备和其他物品的价款；</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（3）发包人要求承包人退货或解除订货合同而产生的费用，或因不能退货或解除合同而产生的损失；</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（4）承包人撤离施工现场以及遣散承包人人员的费用；</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（5）按照合同约定在合同解除前应支付给承包人的其他款项；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（6）扣减承包人按照合同约定应向发包人支付的款项；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（7）双方商定或确定的其他款项。</w:t>
      </w:r>
    </w:p>
    <w:p>
      <w:pPr>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除专用合同条款另有约定外，合同解除后，发包人应在商定或确定上述款项后28天内完成上述款项的支付。</w:t>
      </w:r>
    </w:p>
    <w:p>
      <w:pPr>
        <w:pStyle w:val="5"/>
        <w:spacing w:before="120" w:after="120" w:line="360" w:lineRule="auto"/>
        <w:outlineLvl w:val="3"/>
        <w:rPr>
          <w:rFonts w:hint="eastAsia" w:ascii="宋体" w:hAnsi="宋体" w:eastAsia="宋体" w:cs="宋体"/>
          <w:color w:val="auto"/>
          <w:sz w:val="24"/>
          <w:szCs w:val="24"/>
          <w:highlight w:val="none"/>
        </w:rPr>
      </w:pPr>
      <w:bookmarkStart w:id="1858" w:name="_Toc351203612"/>
      <w:bookmarkStart w:id="1859" w:name="_Toc337558828"/>
      <w:bookmarkStart w:id="1860" w:name="_Toc296346621"/>
      <w:bookmarkStart w:id="1861" w:name="_Toc296503120"/>
      <w:r>
        <w:rPr>
          <w:rFonts w:hint="eastAsia" w:ascii="宋体" w:hAnsi="宋体" w:eastAsia="宋体" w:cs="宋体"/>
          <w:color w:val="auto"/>
          <w:sz w:val="24"/>
          <w:szCs w:val="24"/>
          <w:highlight w:val="none"/>
        </w:rPr>
        <w:t>18. 保险</w:t>
      </w:r>
      <w:bookmarkEnd w:id="1858"/>
    </w:p>
    <w:bookmarkEnd w:id="1859"/>
    <w:bookmarkEnd w:id="1860"/>
    <w:bookmarkEnd w:id="1861"/>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62" w:name="_Toc351203613"/>
      <w:bookmarkStart w:id="1863" w:name="_Toc337558829"/>
      <w:bookmarkStart w:id="1864" w:name="_Toc296503121"/>
      <w:bookmarkStart w:id="1865" w:name="_Toc296346622"/>
      <w:r>
        <w:rPr>
          <w:rFonts w:hint="eastAsia" w:ascii="宋体" w:hAnsi="宋体" w:cs="宋体"/>
          <w:b/>
          <w:bCs/>
          <w:color w:val="auto"/>
          <w:sz w:val="21"/>
          <w:szCs w:val="21"/>
          <w:highlight w:val="none"/>
          <w:lang w:val="en-US" w:eastAsia="zh-CN"/>
        </w:rPr>
        <w:t>18.1 工程保险</w:t>
      </w:r>
      <w:bookmarkEnd w:id="1862"/>
    </w:p>
    <w:bookmarkEnd w:id="1863"/>
    <w:bookmarkEnd w:id="1864"/>
    <w:bookmarkEnd w:id="1865"/>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除专用合同条款另有约定外，发包人应投保建筑工程一切险或安装工程一切险；发包人委托承包人投保的，因投保产生的保险费和其他相关费用由发包人承担。</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66" w:name="_Toc351203614"/>
      <w:bookmarkStart w:id="1867" w:name="_Toc296503122"/>
      <w:bookmarkStart w:id="1868" w:name="_Toc296346623"/>
      <w:bookmarkStart w:id="1869" w:name="_Toc337558830"/>
      <w:r>
        <w:rPr>
          <w:rFonts w:hint="eastAsia" w:ascii="宋体" w:hAnsi="宋体" w:cs="宋体"/>
          <w:b/>
          <w:bCs/>
          <w:color w:val="auto"/>
          <w:sz w:val="21"/>
          <w:szCs w:val="21"/>
          <w:highlight w:val="none"/>
          <w:lang w:val="en-US" w:eastAsia="zh-CN"/>
        </w:rPr>
        <w:t>18.2 工伤保险</w:t>
      </w:r>
      <w:bookmarkEnd w:id="1866"/>
    </w:p>
    <w:bookmarkEnd w:id="1867"/>
    <w:bookmarkEnd w:id="1868"/>
    <w:bookmarkEnd w:id="1869"/>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18.2.1 发包人应依照法律规定参加工伤保险，并为在施工现场的全部员工办理工伤保险，缴纳工伤保险费，并要求监理人及由发包人为履行合同聘请的第三方依法参加工伤保险。</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18.2.2 承包人应依照法律规定参加工伤保险，并为其履行合同的全部员工办理工伤保险，缴纳工伤保险费，并要求分包人及由承包人为履行合同聘请的第三方依法参加工伤保险。</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70" w:name="_Toc351203615"/>
      <w:bookmarkStart w:id="1871" w:name="_Toc296503125"/>
      <w:bookmarkStart w:id="1872" w:name="_Toc337558831"/>
      <w:bookmarkStart w:id="1873" w:name="_Toc296346626"/>
      <w:r>
        <w:rPr>
          <w:rFonts w:hint="eastAsia" w:ascii="宋体" w:hAnsi="宋体" w:cs="宋体"/>
          <w:b/>
          <w:bCs/>
          <w:color w:val="auto"/>
          <w:sz w:val="21"/>
          <w:szCs w:val="21"/>
          <w:highlight w:val="none"/>
          <w:lang w:val="en-US" w:eastAsia="zh-CN"/>
        </w:rPr>
        <w:t>18.3其他保险</w:t>
      </w:r>
      <w:bookmarkEnd w:id="1870"/>
    </w:p>
    <w:bookmarkEnd w:id="1871"/>
    <w:bookmarkEnd w:id="1872"/>
    <w:bookmarkEnd w:id="1873"/>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发包人和承包人可以为其施工现场的全部人员办理意外伤害保险并支付保险费，包括其员工及为履行合同聘请的第三方的人员，具体事项由合同当事人在专用合同条款约定。</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除专用合同条款另有约定外，承包人应为其施工设备等办理财产保险。</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74" w:name="_Toc351203616"/>
      <w:r>
        <w:rPr>
          <w:rFonts w:hint="eastAsia" w:ascii="宋体" w:hAnsi="宋体" w:cs="宋体"/>
          <w:b/>
          <w:bCs/>
          <w:color w:val="auto"/>
          <w:sz w:val="21"/>
          <w:szCs w:val="21"/>
          <w:highlight w:val="none"/>
          <w:lang w:val="en-US" w:eastAsia="zh-CN"/>
        </w:rPr>
        <w:t>18.4持续保险</w:t>
      </w:r>
      <w:bookmarkEnd w:id="1874"/>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合同当事人应与保险人保持联系，使保险人能够随时了解工程实施中的变动，并确保按保险合同条款要求持续保险。</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75" w:name="_Toc351203617"/>
      <w:bookmarkStart w:id="1876" w:name="_Toc296503126"/>
      <w:bookmarkStart w:id="1877" w:name="_Toc337558832"/>
      <w:bookmarkStart w:id="1878" w:name="_Toc296346627"/>
      <w:r>
        <w:rPr>
          <w:rFonts w:hint="eastAsia" w:ascii="宋体" w:hAnsi="宋体" w:cs="宋体"/>
          <w:b/>
          <w:bCs/>
          <w:color w:val="auto"/>
          <w:sz w:val="21"/>
          <w:szCs w:val="21"/>
          <w:highlight w:val="none"/>
          <w:lang w:val="en-US" w:eastAsia="zh-CN"/>
        </w:rPr>
        <w:t>18.5 保险凭证</w:t>
      </w:r>
      <w:bookmarkEnd w:id="1875"/>
    </w:p>
    <w:bookmarkEnd w:id="1876"/>
    <w:bookmarkEnd w:id="1877"/>
    <w:bookmarkEnd w:id="1878"/>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合同当事人应及时向另一方当事人提交其已投保的各项保险的凭证和保险单复印件。</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79" w:name="_Toc351203618"/>
      <w:bookmarkStart w:id="1880" w:name="_Toc296346628"/>
      <w:bookmarkStart w:id="1881" w:name="_Toc337558833"/>
      <w:bookmarkStart w:id="1882" w:name="_Toc296503127"/>
      <w:r>
        <w:rPr>
          <w:rFonts w:hint="eastAsia" w:ascii="宋体" w:hAnsi="宋体" w:cs="宋体"/>
          <w:b/>
          <w:bCs/>
          <w:color w:val="auto"/>
          <w:sz w:val="21"/>
          <w:szCs w:val="21"/>
          <w:highlight w:val="none"/>
          <w:lang w:val="en-US" w:eastAsia="zh-CN"/>
        </w:rPr>
        <w:t>18.6 未按约定投保的补救</w:t>
      </w:r>
      <w:bookmarkEnd w:id="1879"/>
    </w:p>
    <w:bookmarkEnd w:id="1880"/>
    <w:bookmarkEnd w:id="1881"/>
    <w:bookmarkEnd w:id="1882"/>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18.6.1发包人未按合同约定办理保险，或未能使保险持续有效的，则承包人可代为办理，所需费用由发包人承担。发包人未按合同约定办理保险，导致未能得到足额赔偿的，由发包人负责补足。</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18.6.2承包人未按合同约定办理保险，或未能使保险持续有效的，则发包人可代为办理，所需费用由承包人承担。承包人未按合同约定办理保险，导致未能得到足额赔偿的，由承包人负责补足。</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83" w:name="_Toc351203619"/>
      <w:bookmarkStart w:id="1884" w:name="_Toc337558834"/>
      <w:r>
        <w:rPr>
          <w:rFonts w:hint="eastAsia" w:ascii="宋体" w:hAnsi="宋体" w:cs="宋体"/>
          <w:b/>
          <w:bCs/>
          <w:color w:val="auto"/>
          <w:sz w:val="21"/>
          <w:szCs w:val="21"/>
          <w:highlight w:val="none"/>
          <w:lang w:val="en-US" w:eastAsia="zh-CN"/>
        </w:rPr>
        <w:t>18.7 通知义务</w:t>
      </w:r>
      <w:bookmarkEnd w:id="1883"/>
    </w:p>
    <w:bookmarkEnd w:id="1884"/>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除专用合同条款另有约定外，发包人变更除工伤保险之外的保险合同时，应事先征得承包人同意，并通知监理人；承包人变更除工伤保险之外的保险合同时，应事先征得发包人同意，并通知监理人。</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保险事故发生时，投保人应按照保险合同规定的条件和期限及时向保险人报告。发包人和承包人应当在知道保险事故发生后及时通知对方。</w:t>
      </w:r>
    </w:p>
    <w:p>
      <w:pPr>
        <w:pStyle w:val="5"/>
        <w:spacing w:before="120" w:after="120" w:line="360" w:lineRule="auto"/>
        <w:outlineLvl w:val="3"/>
        <w:rPr>
          <w:rFonts w:hint="eastAsia" w:ascii="宋体" w:hAnsi="宋体" w:eastAsia="宋体" w:cs="宋体"/>
          <w:color w:val="auto"/>
          <w:sz w:val="24"/>
          <w:szCs w:val="24"/>
          <w:highlight w:val="none"/>
        </w:rPr>
      </w:pPr>
      <w:bookmarkStart w:id="1885" w:name="_Toc351203620"/>
      <w:bookmarkStart w:id="1886" w:name="_Toc296503140"/>
      <w:bookmarkStart w:id="1887" w:name="_Toc296346641"/>
      <w:bookmarkStart w:id="1888" w:name="_Toc337558835"/>
      <w:r>
        <w:rPr>
          <w:rFonts w:hint="eastAsia" w:ascii="宋体" w:hAnsi="宋体" w:eastAsia="宋体" w:cs="宋体"/>
          <w:color w:val="auto"/>
          <w:sz w:val="24"/>
          <w:szCs w:val="24"/>
          <w:highlight w:val="none"/>
        </w:rPr>
        <w:t>19. 索赔</w:t>
      </w:r>
      <w:bookmarkEnd w:id="1885"/>
    </w:p>
    <w:bookmarkEnd w:id="1886"/>
    <w:bookmarkEnd w:id="1887"/>
    <w:bookmarkEnd w:id="1888"/>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89" w:name="_Toc351203621"/>
      <w:bookmarkStart w:id="1890" w:name="_Toc296503141"/>
      <w:bookmarkStart w:id="1891" w:name="_Toc296346642"/>
      <w:bookmarkStart w:id="1892" w:name="_Toc337558836"/>
      <w:r>
        <w:rPr>
          <w:rFonts w:hint="eastAsia" w:ascii="宋体" w:hAnsi="宋体" w:cs="宋体"/>
          <w:b/>
          <w:bCs/>
          <w:color w:val="auto"/>
          <w:sz w:val="21"/>
          <w:szCs w:val="21"/>
          <w:highlight w:val="none"/>
          <w:lang w:val="en-US" w:eastAsia="zh-CN"/>
        </w:rPr>
        <w:t>19.1承包人的索赔</w:t>
      </w:r>
      <w:bookmarkEnd w:id="1889"/>
    </w:p>
    <w:bookmarkEnd w:id="1890"/>
    <w:bookmarkEnd w:id="1891"/>
    <w:bookmarkEnd w:id="1892"/>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根据合同约定，承包人认为有权得到追加付款和（或）延长工期的，应按以下程序向发包人提出索赔：</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（1）承包人应在知道或应当知道索赔事件发生后28天内，向监理人递交索赔意向通知书，并说明发生索赔事件的事由；承包人未在前述28天内发出索赔意向通知书的，丧失要求追加付款和（或）延长工期的权利；</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（2）承包人应在发出索赔意向通知书后28天内，向监理人正式递交索赔报告；索赔报告应详细说明索赔理由以及要求追加的付款金额和（或）延长的工期，并附必要的记录和证明材料；</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（3）索赔事件具有持续影响的，承包人应按合理时间间隔继续递交延续索赔通知，说明持续影响的实际情况和记录，列出累计的追加付款金额和（或）工期延长天数；</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（4）在索赔事件影响结束后28天内，承包人应向监理人递交最终索赔报告，说明最终要求索赔的追加付款金额和（或）延长的工期，并附必要的记录和证明材料。</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93" w:name="_Toc351203622"/>
      <w:bookmarkStart w:id="1894" w:name="_Toc296346643"/>
      <w:bookmarkStart w:id="1895" w:name="_Toc296503142"/>
      <w:bookmarkStart w:id="1896" w:name="_Toc337558837"/>
      <w:r>
        <w:rPr>
          <w:rFonts w:hint="eastAsia" w:ascii="宋体" w:hAnsi="宋体" w:cs="宋体"/>
          <w:b/>
          <w:bCs/>
          <w:color w:val="auto"/>
          <w:sz w:val="21"/>
          <w:szCs w:val="21"/>
          <w:highlight w:val="none"/>
          <w:lang w:val="en-US" w:eastAsia="zh-CN"/>
        </w:rPr>
        <w:t>19.2 对承包人索赔的处理</w:t>
      </w:r>
      <w:bookmarkEnd w:id="1893"/>
    </w:p>
    <w:bookmarkEnd w:id="1894"/>
    <w:bookmarkEnd w:id="1895"/>
    <w:bookmarkEnd w:id="1896"/>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对承包人索赔的处理如下：</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（1）监理人应在收到索赔报告后14天内完成审查并报送发包人。监理人对索赔报告存在异议的，有权要求承包人提交全部原始记录副本；</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（2）发包人应在监理人收到索赔报告或有关索赔的进一步证明材料后的28天内，由监理人向承包人出具经发包人签认的索赔处理结果。发包人逾期答复的，则视为认可承包人的索赔要求；</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（3）承包人接受索赔处理结果的，索赔款项在当期进度款中进行支付；承包人不接受索赔处理结果的，按照第20条〔争议解决〕约定处理。</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897" w:name="_Toc351203623"/>
      <w:bookmarkStart w:id="1898" w:name="_Toc296346644"/>
      <w:bookmarkStart w:id="1899" w:name="_Toc337558838"/>
      <w:bookmarkStart w:id="1900" w:name="_Toc296503143"/>
      <w:r>
        <w:rPr>
          <w:rFonts w:hint="eastAsia" w:ascii="宋体" w:hAnsi="宋体" w:cs="宋体"/>
          <w:b/>
          <w:bCs/>
          <w:color w:val="auto"/>
          <w:sz w:val="21"/>
          <w:szCs w:val="21"/>
          <w:highlight w:val="none"/>
          <w:lang w:val="en-US" w:eastAsia="zh-CN"/>
        </w:rPr>
        <w:t>19.3发包人的索赔</w:t>
      </w:r>
      <w:bookmarkEnd w:id="1897"/>
    </w:p>
    <w:bookmarkEnd w:id="1898"/>
    <w:bookmarkEnd w:id="1899"/>
    <w:bookmarkEnd w:id="1900"/>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根据合同约定，发包人认为有权得到赔付金额和（或）延长缺陷责任期的，监理人应向承包人发出通知并附有详细的证明。</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901" w:name="_Toc351203624"/>
      <w:bookmarkStart w:id="1902" w:name="_Toc296346645"/>
      <w:bookmarkStart w:id="1903" w:name="_Toc296503144"/>
      <w:bookmarkStart w:id="1904" w:name="_Toc337558839"/>
      <w:r>
        <w:rPr>
          <w:rFonts w:hint="eastAsia" w:ascii="宋体" w:hAnsi="宋体" w:cs="宋体"/>
          <w:b/>
          <w:bCs/>
          <w:color w:val="auto"/>
          <w:sz w:val="21"/>
          <w:szCs w:val="21"/>
          <w:highlight w:val="none"/>
          <w:lang w:val="en-US" w:eastAsia="zh-CN"/>
        </w:rPr>
        <w:t>19.4 对发包人索赔的处理</w:t>
      </w:r>
      <w:bookmarkEnd w:id="1901"/>
    </w:p>
    <w:bookmarkEnd w:id="1902"/>
    <w:bookmarkEnd w:id="1903"/>
    <w:bookmarkEnd w:id="1904"/>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对发包人索赔的处理如下：</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（1）承包人收到发包人提交的索赔报告后，应及时审查索赔报告的内容、查验发包人证明材料；</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（2）承包人应在收到索赔报告或有关索赔的进一步证明材料后28天内，将索赔处理结果答复发包人。如果承包人未在上述期限内作出答复的，则视为对发包人索赔要求的认可；</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（3）承包人接受索赔处理结果的，发包人可从应支付给承包人的合同价款中扣除赔付的金额或延长缺陷责任期；发包人不接受索赔处理结果的，按第20条〔争议解决〕约定处理。</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905" w:name="_Toc351203625"/>
      <w:r>
        <w:rPr>
          <w:rFonts w:hint="eastAsia" w:ascii="宋体" w:hAnsi="宋体" w:cs="宋体"/>
          <w:b/>
          <w:bCs/>
          <w:color w:val="auto"/>
          <w:sz w:val="21"/>
          <w:szCs w:val="21"/>
          <w:highlight w:val="none"/>
          <w:lang w:val="en-US" w:eastAsia="zh-CN"/>
        </w:rPr>
        <w:t>19.5 提出索赔的期限</w:t>
      </w:r>
      <w:bookmarkEnd w:id="1905"/>
    </w:p>
    <w:p>
      <w:pPr>
        <w:spacing w:line="360" w:lineRule="auto"/>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（1）承包人按第14.2款〔竣工结算审核〕约定接收竣工付款证书后，应被视为已无权再提出在工程接收证书颁发前所发生的任何索赔。</w:t>
      </w:r>
    </w:p>
    <w:p>
      <w:pPr>
        <w:spacing w:line="360" w:lineRule="auto"/>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（2）承包人按第14.4款〔最终结清〕提交的最终结清申请单中，只限于提出工程接收证书颁发后发生的索赔。提出索赔的期限自接受最终结清证书时终止。</w:t>
      </w:r>
    </w:p>
    <w:p>
      <w:pPr>
        <w:pStyle w:val="5"/>
        <w:spacing w:before="120" w:after="120" w:line="360" w:lineRule="auto"/>
        <w:outlineLvl w:val="3"/>
        <w:rPr>
          <w:rFonts w:hint="eastAsia" w:ascii="宋体" w:hAnsi="宋体" w:eastAsia="宋体" w:cs="宋体"/>
          <w:color w:val="auto"/>
          <w:sz w:val="24"/>
          <w:szCs w:val="24"/>
          <w:highlight w:val="none"/>
        </w:rPr>
      </w:pPr>
      <w:bookmarkStart w:id="1906" w:name="_Toc351203626"/>
      <w:r>
        <w:rPr>
          <w:rFonts w:hint="eastAsia" w:ascii="宋体" w:hAnsi="宋体" w:eastAsia="宋体" w:cs="宋体"/>
          <w:color w:val="auto"/>
          <w:sz w:val="24"/>
          <w:szCs w:val="24"/>
          <w:highlight w:val="none"/>
        </w:rPr>
        <w:t>20</w:t>
      </w:r>
      <w:bookmarkStart w:id="1907" w:name="_Toc296503146"/>
      <w:bookmarkStart w:id="1908" w:name="_Toc337558840"/>
      <w:bookmarkStart w:id="1909" w:name="_Toc296346647"/>
      <w:r>
        <w:rPr>
          <w:rFonts w:hint="eastAsia" w:ascii="宋体" w:hAnsi="宋体" w:eastAsia="宋体" w:cs="宋体"/>
          <w:color w:val="auto"/>
          <w:sz w:val="24"/>
          <w:szCs w:val="24"/>
          <w:highlight w:val="none"/>
        </w:rPr>
        <w:t>. 争议解决</w:t>
      </w:r>
      <w:bookmarkEnd w:id="1906"/>
    </w:p>
    <w:bookmarkEnd w:id="1907"/>
    <w:bookmarkEnd w:id="1908"/>
    <w:bookmarkEnd w:id="1909"/>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910" w:name="_Toc351203627"/>
      <w:bookmarkStart w:id="1911" w:name="_Toc296346648"/>
      <w:bookmarkStart w:id="1912" w:name="_Toc337558841"/>
      <w:bookmarkStart w:id="1913" w:name="_Toc296503147"/>
      <w:r>
        <w:rPr>
          <w:rFonts w:hint="eastAsia" w:ascii="宋体" w:hAnsi="宋体" w:cs="宋体"/>
          <w:b/>
          <w:bCs/>
          <w:color w:val="auto"/>
          <w:sz w:val="21"/>
          <w:szCs w:val="21"/>
          <w:highlight w:val="none"/>
          <w:lang w:val="en-US" w:eastAsia="zh-CN"/>
        </w:rPr>
        <w:t>20.1和解</w:t>
      </w:r>
      <w:bookmarkEnd w:id="1910"/>
    </w:p>
    <w:bookmarkEnd w:id="1911"/>
    <w:bookmarkEnd w:id="1912"/>
    <w:bookmarkEnd w:id="1913"/>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合同当事人可以就争议自行和解，自行和解达成协议的经双方签字并盖章后作为合同补充文件，双方均应遵照执行。</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914" w:name="_Toc351203628"/>
      <w:r>
        <w:rPr>
          <w:rFonts w:hint="eastAsia" w:ascii="宋体" w:hAnsi="宋体" w:cs="宋体"/>
          <w:b/>
          <w:bCs/>
          <w:color w:val="auto"/>
          <w:sz w:val="21"/>
          <w:szCs w:val="21"/>
          <w:highlight w:val="none"/>
          <w:lang w:val="en-US" w:eastAsia="zh-CN"/>
        </w:rPr>
        <w:t>20</w:t>
      </w:r>
      <w:bookmarkStart w:id="1915" w:name="_Toc296346649"/>
      <w:bookmarkStart w:id="1916" w:name="_Toc296503148"/>
      <w:bookmarkStart w:id="1917" w:name="_Toc337558842"/>
      <w:r>
        <w:rPr>
          <w:rFonts w:hint="eastAsia" w:ascii="宋体" w:hAnsi="宋体" w:cs="宋体"/>
          <w:b/>
          <w:bCs/>
          <w:color w:val="auto"/>
          <w:sz w:val="21"/>
          <w:szCs w:val="21"/>
          <w:highlight w:val="none"/>
          <w:lang w:val="en-US" w:eastAsia="zh-CN"/>
        </w:rPr>
        <w:t>.2调解</w:t>
      </w:r>
      <w:bookmarkEnd w:id="1914"/>
    </w:p>
    <w:bookmarkEnd w:id="1915"/>
    <w:bookmarkEnd w:id="1916"/>
    <w:bookmarkEnd w:id="1917"/>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合同当事人可以就争议请求建设行政主管部门、行业协会或其他第三方进行调解，调解达成协议的，经双方签字并盖章后作为合同补充文件，双方均应遵照执行。</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918" w:name="_Toc351203629"/>
      <w:bookmarkStart w:id="1919" w:name="_Toc337558843"/>
      <w:bookmarkStart w:id="1920" w:name="_Toc296503149"/>
      <w:bookmarkStart w:id="1921" w:name="_Toc296346650"/>
      <w:r>
        <w:rPr>
          <w:rFonts w:hint="eastAsia" w:ascii="宋体" w:hAnsi="宋体" w:cs="宋体"/>
          <w:b/>
          <w:bCs/>
          <w:color w:val="auto"/>
          <w:sz w:val="21"/>
          <w:szCs w:val="21"/>
          <w:highlight w:val="none"/>
          <w:lang w:val="en-US" w:eastAsia="zh-CN"/>
        </w:rPr>
        <w:t>20.3争议评审</w:t>
      </w:r>
      <w:bookmarkEnd w:id="1918"/>
    </w:p>
    <w:bookmarkEnd w:id="1919"/>
    <w:bookmarkEnd w:id="1920"/>
    <w:bookmarkEnd w:id="1921"/>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合同当事人在专用合同条款中约定采取争议评审方式解决争议以及评审规则，并按下列约定执行： </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20.3.1 争议评审小组的确定</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合同当事人可以共同选择一名或三名争议评审员，组成争议评审小组。除专用合同条款另有约定外，合同当事人应当自合同签订后28天内，或者争议发生后14天内，选定争议评审员。</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 </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除专用合同条款另有约定外，评审员报酬由发包人和承包人各承担一半。</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20.3.2 争议评审小组的决定</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内作出书面决定，并说明理由。合同当事人可以在专用合同条款中对本项事项另行约定。</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20.3.3 争议评审小组决定的效力</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争议评审小组作出的书面决定经合同当事人签字确认后，对双方具有约束力，双方应遵照执行。</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任何一方当事人不接受争议评审小组决定或不履行争议评审小组决定的，双方可选择采用其他争议解决方式。</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922" w:name="_Toc351203630"/>
      <w:bookmarkStart w:id="1923" w:name="_Toc296503150"/>
      <w:bookmarkStart w:id="1924" w:name="_Toc337558844"/>
      <w:bookmarkStart w:id="1925" w:name="_Toc296346651"/>
      <w:r>
        <w:rPr>
          <w:rFonts w:hint="eastAsia" w:ascii="宋体" w:hAnsi="宋体" w:cs="宋体"/>
          <w:b/>
          <w:bCs/>
          <w:color w:val="auto"/>
          <w:sz w:val="21"/>
          <w:szCs w:val="21"/>
          <w:highlight w:val="none"/>
          <w:lang w:val="en-US" w:eastAsia="zh-CN"/>
        </w:rPr>
        <w:t>20.4仲裁或诉讼</w:t>
      </w:r>
      <w:bookmarkEnd w:id="1922"/>
    </w:p>
    <w:bookmarkEnd w:id="1923"/>
    <w:bookmarkEnd w:id="1924"/>
    <w:bookmarkEnd w:id="1925"/>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因合同及合同有关事项产生的争议，合同当事人可以在专用合同条款中约定以下一种方式解决争议：</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（1）向约定的仲裁委员会申请仲裁；</w:t>
      </w:r>
    </w:p>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（2）向有管辖权的人民法院起诉。</w:t>
      </w:r>
    </w:p>
    <w:p>
      <w:pPr>
        <w:spacing w:before="120" w:after="120" w:line="360" w:lineRule="auto"/>
        <w:ind w:firstLine="422" w:firstLineChars="200"/>
        <w:outlineLvl w:val="4"/>
        <w:rPr>
          <w:rFonts w:hint="eastAsia" w:ascii="宋体" w:hAnsi="宋体" w:cs="宋体"/>
          <w:b/>
          <w:bCs/>
          <w:color w:val="auto"/>
          <w:sz w:val="21"/>
          <w:szCs w:val="21"/>
          <w:highlight w:val="none"/>
          <w:lang w:val="en-US" w:eastAsia="zh-CN"/>
        </w:rPr>
      </w:pPr>
      <w:bookmarkStart w:id="1926" w:name="_Toc351203631"/>
      <w:bookmarkStart w:id="1927" w:name="_Toc296503152"/>
      <w:bookmarkStart w:id="1928" w:name="_Toc296346653"/>
      <w:bookmarkStart w:id="1929" w:name="_Toc337558845"/>
      <w:r>
        <w:rPr>
          <w:rFonts w:hint="eastAsia" w:ascii="宋体" w:hAnsi="宋体" w:cs="宋体"/>
          <w:b/>
          <w:bCs/>
          <w:color w:val="auto"/>
          <w:sz w:val="21"/>
          <w:szCs w:val="21"/>
          <w:highlight w:val="none"/>
          <w:lang w:val="en-US" w:eastAsia="zh-CN"/>
        </w:rPr>
        <w:t>20.5争议解决条款效力</w:t>
      </w:r>
      <w:bookmarkEnd w:id="1926"/>
    </w:p>
    <w:bookmarkEnd w:id="1927"/>
    <w:bookmarkEnd w:id="1928"/>
    <w:bookmarkEnd w:id="1929"/>
    <w:p>
      <w:pPr>
        <w:autoSpaceDE w:val="0"/>
        <w:autoSpaceDN w:val="0"/>
        <w:adjustRightIn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合同有关争议解决的条款独立存在，合同的变更、解除、终止、无效或者被撤销均不影响其效力。 </w:t>
      </w: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outlineLvl w:val="9"/>
        <w:rPr>
          <w:color w:val="auto"/>
          <w:highlight w:val="none"/>
        </w:rPr>
      </w:pPr>
    </w:p>
    <w:p>
      <w:pPr>
        <w:rPr>
          <w:rStyle w:val="35"/>
          <w:rFonts w:hint="eastAsia"/>
          <w:b w:val="0"/>
          <w:bCs w:val="0"/>
          <w:color w:val="auto"/>
          <w:sz w:val="30"/>
          <w:szCs w:val="30"/>
          <w:highlight w:val="none"/>
        </w:rPr>
      </w:pPr>
      <w:bookmarkStart w:id="1930" w:name="_Toc6337"/>
      <w:bookmarkStart w:id="1931" w:name="_Toc351203632"/>
      <w:bookmarkStart w:id="1932" w:name="_Toc1656328575"/>
      <w:bookmarkStart w:id="1933" w:name="_Toc16621"/>
      <w:bookmarkStart w:id="1934" w:name="_Toc20509"/>
      <w:bookmarkStart w:id="1935" w:name="_Toc10206"/>
      <w:bookmarkStart w:id="1936" w:name="_Toc131311978"/>
      <w:bookmarkStart w:id="1937" w:name="_Toc20490"/>
    </w:p>
    <w:p>
      <w:pPr>
        <w:pStyle w:val="20"/>
        <w:jc w:val="center"/>
        <w:outlineLvl w:val="2"/>
        <w:rPr>
          <w:rFonts w:hAnsi="宋体"/>
          <w:color w:val="auto"/>
          <w:sz w:val="30"/>
          <w:szCs w:val="30"/>
          <w:highlight w:val="none"/>
        </w:rPr>
      </w:pPr>
      <w:bookmarkStart w:id="1938" w:name="_Toc18398"/>
      <w:r>
        <w:rPr>
          <w:rStyle w:val="35"/>
          <w:rFonts w:hint="eastAsia"/>
          <w:b w:val="0"/>
          <w:bCs w:val="0"/>
          <w:color w:val="auto"/>
          <w:sz w:val="30"/>
          <w:szCs w:val="30"/>
          <w:highlight w:val="none"/>
        </w:rPr>
        <w:t>第三部分 专用合同条款</w:t>
      </w:r>
      <w:bookmarkEnd w:id="1930"/>
      <w:bookmarkEnd w:id="1931"/>
      <w:bookmarkEnd w:id="1932"/>
      <w:bookmarkEnd w:id="1933"/>
      <w:bookmarkEnd w:id="1934"/>
      <w:bookmarkEnd w:id="1935"/>
      <w:bookmarkEnd w:id="1936"/>
      <w:bookmarkEnd w:id="1937"/>
      <w:bookmarkEnd w:id="1938"/>
    </w:p>
    <w:p>
      <w:pPr>
        <w:pStyle w:val="5"/>
        <w:snapToGrid w:val="0"/>
        <w:spacing w:before="120" w:after="120" w:line="360" w:lineRule="auto"/>
        <w:jc w:val="left"/>
        <w:rPr>
          <w:rFonts w:ascii="宋体" w:hAnsi="宋体" w:eastAsia="宋体" w:cs="宋体"/>
          <w:color w:val="auto"/>
          <w:sz w:val="24"/>
          <w:szCs w:val="24"/>
          <w:highlight w:val="none"/>
        </w:rPr>
      </w:pPr>
      <w:bookmarkStart w:id="1939" w:name="_Toc351203633"/>
      <w:r>
        <w:rPr>
          <w:rFonts w:hint="eastAsia" w:ascii="宋体" w:hAnsi="宋体" w:eastAsia="宋体" w:cs="宋体"/>
          <w:color w:val="auto"/>
          <w:sz w:val="24"/>
          <w:szCs w:val="24"/>
          <w:highlight w:val="none"/>
        </w:rPr>
        <w:t>1</w:t>
      </w:r>
      <w:bookmarkStart w:id="1940" w:name="_Toc297120456"/>
      <w:bookmarkStart w:id="1941" w:name="_Toc296503156"/>
      <w:bookmarkStart w:id="1942" w:name="_Toc296944495"/>
      <w:bookmarkStart w:id="1943" w:name="_Toc292559866"/>
      <w:bookmarkStart w:id="1944" w:name="_Toc296346657"/>
      <w:bookmarkStart w:id="1945" w:name="_Toc296891196"/>
      <w:bookmarkStart w:id="1946" w:name="_Toc296347155"/>
      <w:bookmarkStart w:id="1947" w:name="_Toc292559361"/>
      <w:bookmarkStart w:id="1948" w:name="_Toc297048342"/>
      <w:bookmarkStart w:id="1949" w:name="_Toc296890984"/>
      <w:r>
        <w:rPr>
          <w:rFonts w:hint="eastAsia" w:ascii="宋体" w:hAnsi="宋体" w:eastAsia="宋体" w:cs="宋体"/>
          <w:color w:val="auto"/>
          <w:sz w:val="24"/>
          <w:szCs w:val="24"/>
          <w:highlight w:val="none"/>
        </w:rPr>
        <w:t>. 一般约定</w:t>
      </w:r>
      <w:bookmarkEnd w:id="1939"/>
    </w:p>
    <w:bookmarkEnd w:id="1940"/>
    <w:bookmarkEnd w:id="1941"/>
    <w:bookmarkEnd w:id="1942"/>
    <w:bookmarkEnd w:id="1943"/>
    <w:bookmarkEnd w:id="1944"/>
    <w:bookmarkEnd w:id="1945"/>
    <w:bookmarkEnd w:id="1946"/>
    <w:bookmarkEnd w:id="1947"/>
    <w:bookmarkEnd w:id="1948"/>
    <w:bookmarkEnd w:id="1949"/>
    <w:p>
      <w:pPr>
        <w:snapToGrid w:val="0"/>
        <w:spacing w:after="120" w:line="360" w:lineRule="auto"/>
        <w:ind w:firstLine="420" w:firstLineChars="200"/>
        <w:jc w:val="left"/>
        <w:rPr>
          <w:rFonts w:ascii="宋体" w:hAnsi="宋体" w:cs="宋体"/>
          <w:color w:val="auto"/>
          <w:szCs w:val="21"/>
          <w:highlight w:val="none"/>
        </w:rPr>
      </w:pPr>
      <w:bookmarkStart w:id="1950" w:name="_Toc28898"/>
      <w:r>
        <w:rPr>
          <w:rFonts w:hint="eastAsia" w:ascii="宋体" w:hAnsi="宋体" w:cs="宋体"/>
          <w:color w:val="auto"/>
          <w:szCs w:val="21"/>
          <w:highlight w:val="none"/>
        </w:rPr>
        <w:t>1.1 词语定义</w:t>
      </w:r>
      <w:bookmarkEnd w:id="1950"/>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1.1.1合同</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1.1.1.10其他合同文件包括：</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1.1.2 合同当事人及其他相关方</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1.1.2.4监理人：</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名    称：</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资质类别和等级：</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1.1.2.5 设计人：</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名    称：</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资质类别和等级：</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1.1.3 工程和设备</w:t>
      </w:r>
    </w:p>
    <w:p>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1.1.3.7 作为施工现场组成部分的其他场所包括：</w:t>
      </w:r>
    </w:p>
    <w:p>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pPr>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1.1.3.9 永久占地包括：</w:t>
      </w:r>
      <w:r>
        <w:rPr>
          <w:rFonts w:hint="eastAsia" w:ascii="宋体" w:hAnsi="宋体" w:cs="宋体"/>
          <w:color w:val="auto"/>
          <w:szCs w:val="21"/>
          <w:highlight w:val="none"/>
          <w:u w:val="single"/>
        </w:rPr>
        <w:t xml:space="preserve">                         </w:t>
      </w:r>
      <w:r>
        <w:rPr>
          <w:rFonts w:hint="eastAsia" w:ascii="宋体" w:hAnsi="宋体" w:cs="宋体"/>
          <w:color w:val="auto"/>
          <w:kern w:val="0"/>
          <w:szCs w:val="21"/>
          <w:highlight w:val="none"/>
        </w:rPr>
        <w:t>。</w:t>
      </w:r>
    </w:p>
    <w:p>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kern w:val="0"/>
          <w:szCs w:val="21"/>
          <w:highlight w:val="none"/>
        </w:rPr>
        <w:t>1.1.3.10 临时占地包括：</w:t>
      </w:r>
      <w:r>
        <w:rPr>
          <w:rFonts w:hint="eastAsia" w:ascii="宋体" w:hAnsi="宋体" w:cs="宋体"/>
          <w:color w:val="auto"/>
          <w:szCs w:val="21"/>
          <w:highlight w:val="none"/>
          <w:u w:val="single"/>
        </w:rPr>
        <w:t xml:space="preserve">                        </w:t>
      </w:r>
      <w:r>
        <w:rPr>
          <w:rFonts w:hint="eastAsia" w:ascii="宋体" w:hAnsi="宋体" w:cs="宋体"/>
          <w:color w:val="auto"/>
          <w:kern w:val="0"/>
          <w:szCs w:val="21"/>
          <w:highlight w:val="none"/>
        </w:rPr>
        <w:t>。</w:t>
      </w:r>
    </w:p>
    <w:p>
      <w:pPr>
        <w:snapToGrid w:val="0"/>
        <w:spacing w:after="12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1.3法律</w:t>
      </w:r>
    </w:p>
    <w:p>
      <w:pPr>
        <w:autoSpaceDE w:val="0"/>
        <w:autoSpaceDN w:val="0"/>
        <w:adjustRightInd w:val="0"/>
        <w:snapToGrid w:val="0"/>
        <w:spacing w:line="360" w:lineRule="auto"/>
        <w:ind w:left="806" w:leftChars="284" w:hanging="210" w:hangingChars="100"/>
        <w:rPr>
          <w:rFonts w:ascii="宋体" w:hAnsi="宋体" w:cs="宋体"/>
          <w:color w:val="auto"/>
          <w:szCs w:val="21"/>
          <w:highlight w:val="none"/>
        </w:rPr>
      </w:pPr>
      <w:r>
        <w:rPr>
          <w:rFonts w:hint="eastAsia" w:ascii="宋体" w:hAnsi="宋体" w:cs="宋体"/>
          <w:color w:val="auto"/>
          <w:szCs w:val="21"/>
          <w:highlight w:val="none"/>
        </w:rPr>
        <w:t>适用于合同的其他规范性文件：</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after="12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1.4 标准和规范</w:t>
      </w:r>
    </w:p>
    <w:p>
      <w:pPr>
        <w:snapToGrid w:val="0"/>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1.4.1适用于工程的标准规范包括：</w:t>
      </w:r>
    </w:p>
    <w:p>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u w:val="single"/>
        </w:rPr>
        <w:t>                                        </w:t>
      </w:r>
      <w:r>
        <w:rPr>
          <w:rFonts w:hint="eastAsia" w:ascii="宋体" w:hAnsi="宋体" w:cs="宋体"/>
          <w:color w:val="auto"/>
          <w:szCs w:val="21"/>
          <w:highlight w:val="none"/>
        </w:rPr>
        <w:t>。</w:t>
      </w:r>
    </w:p>
    <w:p>
      <w:pPr>
        <w:snapToGrid w:val="0"/>
        <w:spacing w:line="360" w:lineRule="auto"/>
        <w:ind w:firstLine="420" w:firstLineChars="200"/>
        <w:rPr>
          <w:rFonts w:ascii="宋体" w:hAnsi="宋体" w:cs="宋体"/>
          <w:color w:val="auto"/>
          <w:kern w:val="0"/>
          <w:szCs w:val="21"/>
          <w:highlight w:val="none"/>
        </w:rPr>
      </w:pPr>
      <w:bookmarkStart w:id="1951" w:name="_Toc6179"/>
      <w:r>
        <w:rPr>
          <w:rFonts w:hint="eastAsia" w:ascii="宋体" w:hAnsi="宋体" w:cs="宋体"/>
          <w:color w:val="auto"/>
          <w:kern w:val="0"/>
          <w:szCs w:val="21"/>
          <w:highlight w:val="none"/>
        </w:rPr>
        <w:t>1.4.2 发包人提供国外标准、规范的名称：</w:t>
      </w:r>
      <w:bookmarkEnd w:id="1951"/>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发包人提供国外标准、规范的份数：</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kern w:val="0"/>
          <w:szCs w:val="21"/>
          <w:highlight w:val="none"/>
        </w:rPr>
        <w:t>发包人提供国外标准、规范的名称：</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1.4.3发包人对工程的技术标准和功能要求的特殊要求：</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1952" w:name="_Toc29215"/>
      <w:r>
        <w:rPr>
          <w:rFonts w:hint="eastAsia" w:ascii="宋体" w:hAnsi="宋体" w:cs="宋体"/>
          <w:color w:val="auto"/>
          <w:szCs w:val="21"/>
          <w:highlight w:val="none"/>
        </w:rPr>
        <w:t>1.5 合同文件的优先顺序</w:t>
      </w:r>
      <w:bookmarkEnd w:id="1952"/>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1</w:t>
      </w:r>
      <w:r>
        <w:rPr>
          <w:rFonts w:ascii="宋体" w:hAnsi="宋体"/>
          <w:color w:val="auto"/>
          <w:szCs w:val="21"/>
          <w:highlight w:val="none"/>
          <w:u w:val="single"/>
        </w:rPr>
        <w:t>.</w:t>
      </w:r>
      <w:r>
        <w:rPr>
          <w:rFonts w:hint="eastAsia" w:ascii="宋体" w:hAnsi="宋体"/>
          <w:color w:val="auto"/>
          <w:szCs w:val="21"/>
          <w:highlight w:val="none"/>
          <w:u w:val="single"/>
        </w:rPr>
        <w:t>合同协议书；</w:t>
      </w:r>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2</w:t>
      </w:r>
      <w:r>
        <w:rPr>
          <w:rFonts w:ascii="宋体" w:hAnsi="宋体"/>
          <w:color w:val="auto"/>
          <w:szCs w:val="21"/>
          <w:highlight w:val="none"/>
          <w:u w:val="single"/>
        </w:rPr>
        <w:t>.</w:t>
      </w:r>
      <w:r>
        <w:rPr>
          <w:rFonts w:hint="eastAsia" w:ascii="宋体" w:hAnsi="宋体"/>
          <w:color w:val="auto"/>
          <w:szCs w:val="21"/>
          <w:highlight w:val="none"/>
          <w:u w:val="single"/>
        </w:rPr>
        <w:t>中标通知书；</w:t>
      </w:r>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3</w:t>
      </w:r>
      <w:r>
        <w:rPr>
          <w:rFonts w:ascii="宋体" w:hAnsi="宋体"/>
          <w:color w:val="auto"/>
          <w:szCs w:val="21"/>
          <w:highlight w:val="none"/>
          <w:u w:val="single"/>
        </w:rPr>
        <w:t>.</w:t>
      </w:r>
      <w:r>
        <w:rPr>
          <w:rFonts w:hint="eastAsia" w:ascii="宋体" w:hAnsi="宋体"/>
          <w:color w:val="auto"/>
          <w:szCs w:val="21"/>
          <w:highlight w:val="none"/>
          <w:u w:val="single"/>
        </w:rPr>
        <w:t>投标函及投标函附录；</w:t>
      </w:r>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4</w:t>
      </w:r>
      <w:r>
        <w:rPr>
          <w:rFonts w:ascii="宋体" w:hAnsi="宋体"/>
          <w:color w:val="auto"/>
          <w:szCs w:val="21"/>
          <w:highlight w:val="none"/>
          <w:u w:val="single"/>
        </w:rPr>
        <w:t>.</w:t>
      </w:r>
      <w:r>
        <w:rPr>
          <w:rFonts w:hint="eastAsia" w:ascii="宋体" w:hAnsi="宋体"/>
          <w:color w:val="auto"/>
          <w:szCs w:val="21"/>
          <w:highlight w:val="none"/>
          <w:u w:val="single"/>
        </w:rPr>
        <w:t>专用合同条款</w:t>
      </w:r>
      <w:r>
        <w:rPr>
          <w:rFonts w:hint="eastAsia" w:ascii="宋体" w:hAnsi="宋体" w:cs="宋体"/>
          <w:color w:val="auto"/>
          <w:szCs w:val="21"/>
          <w:highlight w:val="none"/>
          <w:u w:val="single"/>
        </w:rPr>
        <w:t>其附件</w:t>
      </w:r>
      <w:r>
        <w:rPr>
          <w:rFonts w:hint="eastAsia" w:ascii="宋体" w:hAnsi="宋体"/>
          <w:color w:val="auto"/>
          <w:szCs w:val="21"/>
          <w:highlight w:val="none"/>
          <w:u w:val="single"/>
        </w:rPr>
        <w:t>；</w:t>
      </w:r>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5</w:t>
      </w:r>
      <w:r>
        <w:rPr>
          <w:rFonts w:ascii="宋体" w:hAnsi="宋体"/>
          <w:color w:val="auto"/>
          <w:szCs w:val="21"/>
          <w:highlight w:val="none"/>
          <w:u w:val="single"/>
        </w:rPr>
        <w:t>.</w:t>
      </w:r>
      <w:r>
        <w:rPr>
          <w:rFonts w:hint="eastAsia" w:ascii="宋体" w:hAnsi="宋体"/>
          <w:color w:val="auto"/>
          <w:szCs w:val="21"/>
          <w:highlight w:val="none"/>
          <w:u w:val="single"/>
        </w:rPr>
        <w:t>通用合同条款；</w:t>
      </w:r>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6</w:t>
      </w:r>
      <w:r>
        <w:rPr>
          <w:rFonts w:ascii="宋体" w:hAnsi="宋体"/>
          <w:color w:val="auto"/>
          <w:szCs w:val="21"/>
          <w:highlight w:val="none"/>
          <w:u w:val="single"/>
        </w:rPr>
        <w:t>.</w:t>
      </w:r>
      <w:r>
        <w:rPr>
          <w:rFonts w:hint="eastAsia" w:ascii="宋体" w:hAnsi="宋体"/>
          <w:color w:val="auto"/>
          <w:szCs w:val="21"/>
          <w:highlight w:val="none"/>
          <w:u w:val="single"/>
        </w:rPr>
        <w:t>技术标准和要求；</w:t>
      </w:r>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7</w:t>
      </w:r>
      <w:r>
        <w:rPr>
          <w:rFonts w:ascii="宋体" w:hAnsi="宋体"/>
          <w:color w:val="auto"/>
          <w:szCs w:val="21"/>
          <w:highlight w:val="none"/>
          <w:u w:val="single"/>
        </w:rPr>
        <w:t>.</w:t>
      </w:r>
      <w:r>
        <w:rPr>
          <w:rFonts w:hint="eastAsia" w:ascii="宋体" w:hAnsi="宋体"/>
          <w:color w:val="auto"/>
          <w:szCs w:val="21"/>
          <w:highlight w:val="none"/>
          <w:u w:val="single"/>
        </w:rPr>
        <w:t>图纸；</w:t>
      </w:r>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8</w:t>
      </w:r>
      <w:r>
        <w:rPr>
          <w:rFonts w:ascii="宋体" w:hAnsi="宋体"/>
          <w:color w:val="auto"/>
          <w:szCs w:val="21"/>
          <w:highlight w:val="none"/>
          <w:u w:val="single"/>
        </w:rPr>
        <w:t>.</w:t>
      </w:r>
      <w:r>
        <w:rPr>
          <w:rFonts w:hint="eastAsia" w:ascii="宋体" w:hAnsi="宋体"/>
          <w:color w:val="auto"/>
          <w:szCs w:val="21"/>
          <w:highlight w:val="none"/>
          <w:u w:val="single"/>
        </w:rPr>
        <w:t>已标价工程量清单；</w:t>
      </w:r>
    </w:p>
    <w:p>
      <w:pPr>
        <w:snapToGrid w:val="0"/>
        <w:spacing w:line="400" w:lineRule="exact"/>
        <w:ind w:left="420"/>
        <w:jc w:val="left"/>
        <w:rPr>
          <w:rFonts w:ascii="宋体" w:hAnsi="宋体"/>
          <w:color w:val="auto"/>
          <w:szCs w:val="21"/>
          <w:highlight w:val="none"/>
          <w:u w:val="single"/>
        </w:rPr>
      </w:pPr>
      <w:r>
        <w:rPr>
          <w:rFonts w:hint="eastAsia"/>
          <w:color w:val="auto"/>
          <w:szCs w:val="21"/>
          <w:highlight w:val="none"/>
          <w:u w:val="single"/>
        </w:rPr>
        <w:t>9</w:t>
      </w:r>
      <w:r>
        <w:rPr>
          <w:rFonts w:ascii="宋体" w:hAnsi="宋体"/>
          <w:color w:val="auto"/>
          <w:szCs w:val="21"/>
          <w:highlight w:val="none"/>
          <w:u w:val="single"/>
        </w:rPr>
        <w:t>.</w:t>
      </w:r>
      <w:r>
        <w:rPr>
          <w:rFonts w:hint="eastAsia" w:ascii="宋体" w:hAnsi="宋体"/>
          <w:color w:val="auto"/>
          <w:szCs w:val="21"/>
          <w:highlight w:val="none"/>
          <w:u w:val="single"/>
        </w:rPr>
        <w:t>其他合同文件。</w:t>
      </w:r>
    </w:p>
    <w:p>
      <w:pPr>
        <w:spacing w:line="360" w:lineRule="auto"/>
        <w:rPr>
          <w:color w:val="auto"/>
          <w:highlight w:val="none"/>
        </w:rPr>
      </w:pPr>
    </w:p>
    <w:p>
      <w:pPr>
        <w:snapToGrid w:val="0"/>
        <w:spacing w:after="120" w:line="360" w:lineRule="auto"/>
        <w:ind w:firstLine="420" w:firstLineChars="200"/>
        <w:jc w:val="left"/>
        <w:rPr>
          <w:rFonts w:ascii="宋体" w:hAnsi="宋体" w:cs="宋体"/>
          <w:color w:val="auto"/>
          <w:szCs w:val="21"/>
          <w:highlight w:val="none"/>
        </w:rPr>
      </w:pPr>
      <w:bookmarkStart w:id="1953" w:name="_Toc28576"/>
      <w:r>
        <w:rPr>
          <w:rFonts w:hint="eastAsia" w:ascii="宋体" w:hAnsi="宋体" w:cs="宋体"/>
          <w:color w:val="auto"/>
          <w:szCs w:val="21"/>
          <w:highlight w:val="none"/>
        </w:rPr>
        <w:t>1.6 图纸和承包人文件</w:t>
      </w:r>
      <w:bookmarkEnd w:id="1953"/>
      <w:r>
        <w:rPr>
          <w:rFonts w:hint="eastAsia" w:ascii="宋体" w:hAnsi="宋体" w:cs="宋体"/>
          <w:color w:val="auto"/>
          <w:szCs w:val="21"/>
          <w:highlight w:val="none"/>
        </w:rPr>
        <w:tab/>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1.6.1 图纸的提供</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发包人向承包人提供图纸的期限：</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发包人向承包人提供图纸的数量：</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发包人向承包人提供图纸的内容：</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1.6.4 承包人文件</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需要由承包人提供的文件，包括：</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承包人提供的文件的期限为：</w:t>
      </w:r>
      <w:r>
        <w:rPr>
          <w:rFonts w:hint="eastAsia" w:ascii="宋体" w:hAnsi="宋体" w:cs="宋体"/>
          <w:color w:val="auto"/>
          <w:szCs w:val="21"/>
          <w:highlight w:val="none"/>
          <w:u w:val="single"/>
        </w:rPr>
        <w:t> 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承包人提供的文件的数量为：</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承包人提供的文件的形式为：</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发包人审批承包人文件的期限：</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1.6.5 现场图纸准备</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关于现场图纸准备的约定：</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1954" w:name="_Toc9395"/>
      <w:r>
        <w:rPr>
          <w:rFonts w:hint="eastAsia" w:ascii="宋体" w:hAnsi="宋体" w:cs="宋体"/>
          <w:color w:val="auto"/>
          <w:szCs w:val="21"/>
          <w:highlight w:val="none"/>
        </w:rPr>
        <w:t>1.7 联络</w:t>
      </w:r>
      <w:bookmarkEnd w:id="1954"/>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1.7.1发包人和承包人应当在</w:t>
      </w:r>
      <w:r>
        <w:rPr>
          <w:rFonts w:hint="eastAsia" w:ascii="宋体" w:hAnsi="宋体" w:cs="宋体"/>
          <w:color w:val="auto"/>
          <w:szCs w:val="21"/>
          <w:highlight w:val="none"/>
          <w:u w:val="single"/>
        </w:rPr>
        <w:t xml:space="preserve">    </w:t>
      </w:r>
      <w:r>
        <w:rPr>
          <w:rFonts w:hint="eastAsia" w:ascii="宋体" w:hAnsi="宋体" w:cs="宋体"/>
          <w:color w:val="auto"/>
          <w:kern w:val="0"/>
          <w:szCs w:val="21"/>
          <w:highlight w:val="none"/>
        </w:rPr>
        <w:t>天内将与合同有关的通知、批准、证明、证书、指示、指令、要求、请求、同意、意见、确定和决定等书面函件送达对方当事人。</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1.7.2 发包人接收文件的地点：</w:t>
      </w:r>
      <w:r>
        <w:rPr>
          <w:rFonts w:hint="eastAsia" w:ascii="宋体" w:hAnsi="宋体" w:cs="宋体"/>
          <w:color w:val="auto"/>
          <w:szCs w:val="21"/>
          <w:highlight w:val="none"/>
          <w:u w:val="single"/>
        </w:rPr>
        <w:t>      </w:t>
      </w:r>
      <w:r>
        <w:rPr>
          <w:rFonts w:hint="eastAsia" w:ascii="宋体" w:hAnsi="宋体" w:cs="宋体"/>
          <w:color w:val="auto"/>
          <w:kern w:val="0"/>
          <w:szCs w:val="21"/>
          <w:highlight w:val="none"/>
        </w:rPr>
        <w:t>；</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发包人指定的接收人为：</w:t>
      </w:r>
      <w:r>
        <w:rPr>
          <w:rFonts w:hint="eastAsia" w:ascii="宋体" w:hAnsi="宋体" w:cs="宋体"/>
          <w:color w:val="auto"/>
          <w:szCs w:val="21"/>
          <w:highlight w:val="none"/>
          <w:u w:val="single"/>
        </w:rPr>
        <w:t>                </w:t>
      </w:r>
      <w:r>
        <w:rPr>
          <w:rFonts w:hint="eastAsia" w:ascii="宋体" w:hAnsi="宋体" w:cs="宋体"/>
          <w:color w:val="auto"/>
          <w:kern w:val="0"/>
          <w:szCs w:val="21"/>
          <w:highlight w:val="none"/>
        </w:rPr>
        <w:t>。</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承包人接收文件的地点：</w:t>
      </w:r>
      <w:r>
        <w:rPr>
          <w:rFonts w:hint="eastAsia" w:ascii="宋体" w:hAnsi="宋体" w:cs="宋体"/>
          <w:color w:val="auto"/>
          <w:szCs w:val="21"/>
          <w:highlight w:val="none"/>
          <w:u w:val="single"/>
        </w:rPr>
        <w:t>              </w:t>
      </w:r>
      <w:r>
        <w:rPr>
          <w:rFonts w:hint="eastAsia" w:ascii="宋体" w:hAnsi="宋体" w:cs="宋体"/>
          <w:color w:val="auto"/>
          <w:kern w:val="0"/>
          <w:szCs w:val="21"/>
          <w:highlight w:val="none"/>
        </w:rPr>
        <w:t>；</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承包人指定的接收人为：</w:t>
      </w:r>
      <w:r>
        <w:rPr>
          <w:rFonts w:hint="eastAsia" w:ascii="宋体" w:hAnsi="宋体" w:cs="宋体"/>
          <w:color w:val="auto"/>
          <w:szCs w:val="21"/>
          <w:highlight w:val="none"/>
          <w:u w:val="single"/>
        </w:rPr>
        <w:t>              </w:t>
      </w:r>
      <w:r>
        <w:rPr>
          <w:rFonts w:hint="eastAsia" w:ascii="宋体" w:hAnsi="宋体" w:cs="宋体"/>
          <w:color w:val="auto"/>
          <w:kern w:val="0"/>
          <w:szCs w:val="21"/>
          <w:highlight w:val="none"/>
        </w:rPr>
        <w:t>。</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监理人接收文件的地点：</w:t>
      </w:r>
      <w:r>
        <w:rPr>
          <w:rFonts w:hint="eastAsia" w:ascii="宋体" w:hAnsi="宋体" w:cs="宋体"/>
          <w:color w:val="auto"/>
          <w:szCs w:val="21"/>
          <w:highlight w:val="none"/>
          <w:u w:val="single"/>
        </w:rPr>
        <w:t>             </w:t>
      </w:r>
      <w:r>
        <w:rPr>
          <w:rFonts w:hint="eastAsia" w:ascii="宋体" w:hAnsi="宋体" w:cs="宋体"/>
          <w:color w:val="auto"/>
          <w:kern w:val="0"/>
          <w:szCs w:val="21"/>
          <w:highlight w:val="none"/>
        </w:rPr>
        <w:t>；</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监理人指定的接收人为：</w:t>
      </w:r>
      <w:r>
        <w:rPr>
          <w:rFonts w:hint="eastAsia" w:ascii="宋体" w:hAnsi="宋体" w:cs="宋体"/>
          <w:color w:val="auto"/>
          <w:szCs w:val="21"/>
          <w:highlight w:val="none"/>
          <w:u w:val="single"/>
        </w:rPr>
        <w:t>             </w:t>
      </w:r>
      <w:r>
        <w:rPr>
          <w:rFonts w:hint="eastAsia" w:ascii="宋体" w:hAnsi="宋体" w:cs="宋体"/>
          <w:color w:val="auto"/>
          <w:kern w:val="0"/>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bookmarkStart w:id="1955" w:name="_Toc19686"/>
      <w:bookmarkStart w:id="1956" w:name="_Toc109149873"/>
      <w:r>
        <w:rPr>
          <w:rFonts w:hint="eastAsia" w:ascii="宋体" w:hAnsi="宋体" w:cs="宋体"/>
          <w:color w:val="auto"/>
          <w:szCs w:val="21"/>
          <w:highlight w:val="none"/>
        </w:rPr>
        <w:t>1.10 交通运输</w:t>
      </w:r>
      <w:bookmarkEnd w:id="1955"/>
      <w:bookmarkEnd w:id="1956"/>
    </w:p>
    <w:p>
      <w:pPr>
        <w:snapToGrid w:val="0"/>
        <w:spacing w:line="360" w:lineRule="auto"/>
        <w:ind w:firstLine="420" w:firstLineChars="200"/>
        <w:jc w:val="left"/>
        <w:outlineLvl w:val="9"/>
        <w:rPr>
          <w:rFonts w:ascii="宋体" w:hAnsi="宋体" w:cs="宋体"/>
          <w:color w:val="auto"/>
          <w:szCs w:val="21"/>
          <w:highlight w:val="none"/>
        </w:rPr>
      </w:pPr>
      <w:bookmarkStart w:id="1957" w:name="_Toc19830"/>
      <w:r>
        <w:rPr>
          <w:rFonts w:hint="eastAsia" w:ascii="宋体" w:hAnsi="宋体" w:cs="宋体"/>
          <w:color w:val="auto"/>
          <w:szCs w:val="21"/>
          <w:highlight w:val="none"/>
        </w:rPr>
        <w:t>1</w:t>
      </w:r>
      <w:bookmarkStart w:id="1958" w:name="_Toc312677986"/>
      <w:bookmarkStart w:id="1959" w:name="_Toc300934943"/>
      <w:bookmarkStart w:id="1960" w:name="_Toc318581155"/>
      <w:bookmarkStart w:id="1961" w:name="_Toc303539100"/>
      <w:bookmarkStart w:id="1962" w:name="_Toc304295521"/>
      <w:r>
        <w:rPr>
          <w:rFonts w:hint="eastAsia" w:ascii="宋体" w:hAnsi="宋体" w:cs="宋体"/>
          <w:color w:val="auto"/>
          <w:szCs w:val="21"/>
          <w:highlight w:val="none"/>
        </w:rPr>
        <w:t>.10.1 出入现场的权利</w:t>
      </w:r>
      <w:bookmarkEnd w:id="1957"/>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关于出入现场的权利的约定：</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bookmarkEnd w:id="1958"/>
    <w:bookmarkEnd w:id="1959"/>
    <w:bookmarkEnd w:id="1960"/>
    <w:bookmarkEnd w:id="1961"/>
    <w:bookmarkEnd w:id="1962"/>
    <w:p>
      <w:pPr>
        <w:snapToGrid w:val="0"/>
        <w:spacing w:line="360" w:lineRule="auto"/>
        <w:ind w:firstLine="420" w:firstLineChars="200"/>
        <w:jc w:val="left"/>
        <w:outlineLvl w:val="9"/>
        <w:rPr>
          <w:rFonts w:ascii="宋体" w:hAnsi="宋体" w:cs="宋体"/>
          <w:color w:val="auto"/>
          <w:szCs w:val="21"/>
          <w:highlight w:val="none"/>
        </w:rPr>
      </w:pPr>
      <w:bookmarkStart w:id="1963" w:name="_Toc12797"/>
      <w:r>
        <w:rPr>
          <w:rFonts w:hint="eastAsia" w:ascii="宋体" w:hAnsi="宋体" w:cs="宋体"/>
          <w:color w:val="auto"/>
          <w:szCs w:val="21"/>
          <w:highlight w:val="none"/>
        </w:rPr>
        <w:t>1</w:t>
      </w:r>
      <w:bookmarkStart w:id="1964" w:name="_Toc304295522"/>
      <w:bookmarkStart w:id="1965" w:name="_Toc318581156"/>
      <w:bookmarkStart w:id="1966" w:name="_Toc300934944"/>
      <w:bookmarkStart w:id="1967" w:name="_Toc312677987"/>
      <w:bookmarkStart w:id="1968" w:name="_Toc303539101"/>
      <w:r>
        <w:rPr>
          <w:rFonts w:hint="eastAsia" w:ascii="宋体" w:hAnsi="宋体" w:cs="宋体"/>
          <w:color w:val="auto"/>
          <w:szCs w:val="21"/>
          <w:highlight w:val="none"/>
        </w:rPr>
        <w:t>.10.3 场内交通</w:t>
      </w:r>
      <w:bookmarkEnd w:id="1963"/>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关于场外交通和场内交通的边界的约定：</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关于发包人向承包人免费提供满足工程施工需要的场内道路和交通设施的约定：</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                    </w:t>
      </w:r>
      <w:r>
        <w:rPr>
          <w:rFonts w:hint="eastAsia" w:ascii="宋体" w:hAnsi="宋体" w:cs="宋体"/>
          <w:color w:val="auto"/>
          <w:szCs w:val="21"/>
          <w:highlight w:val="none"/>
        </w:rPr>
        <w:t>。</w:t>
      </w:r>
      <w:bookmarkEnd w:id="1964"/>
      <w:bookmarkEnd w:id="1965"/>
      <w:bookmarkEnd w:id="1966"/>
      <w:bookmarkEnd w:id="1967"/>
      <w:bookmarkEnd w:id="1968"/>
      <w:bookmarkStart w:id="1969" w:name="_Toc318581157"/>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1.10.4超大件和超重件的运输</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运输超大件或超重件所需的道路和桥梁临时加固改造费用和其他有关费用由承担。</w:t>
      </w:r>
    </w:p>
    <w:bookmarkEnd w:id="1969"/>
    <w:p>
      <w:pPr>
        <w:snapToGrid w:val="0"/>
        <w:spacing w:after="120" w:line="360" w:lineRule="auto"/>
        <w:ind w:firstLine="420" w:firstLineChars="200"/>
        <w:jc w:val="left"/>
        <w:outlineLvl w:val="9"/>
        <w:rPr>
          <w:rFonts w:ascii="宋体" w:hAnsi="宋体" w:cs="宋体"/>
          <w:color w:val="auto"/>
          <w:szCs w:val="21"/>
          <w:highlight w:val="none"/>
        </w:rPr>
      </w:pPr>
      <w:bookmarkStart w:id="1970" w:name="_Toc109149874"/>
      <w:bookmarkStart w:id="1971" w:name="_Toc7350"/>
      <w:r>
        <w:rPr>
          <w:rFonts w:hint="eastAsia" w:ascii="宋体" w:hAnsi="宋体" w:cs="宋体"/>
          <w:color w:val="auto"/>
          <w:szCs w:val="21"/>
          <w:highlight w:val="none"/>
        </w:rPr>
        <w:t>1.11 知识产权</w:t>
      </w:r>
      <w:bookmarkEnd w:id="1970"/>
      <w:bookmarkEnd w:id="1971"/>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1.11.1关于发包人提供给承包人的图纸、发包人为实施工程自行编制或委托编制的技术规范以及反映发包人关于合同要求或其他类似性质的文件的著作权的归属：</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关于发包人提供的上述文件的使用限制的要求：</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bookmarkStart w:id="1972" w:name="_Toc29391"/>
      <w:r>
        <w:rPr>
          <w:rFonts w:hint="eastAsia" w:ascii="宋体" w:hAnsi="宋体" w:cs="宋体"/>
          <w:color w:val="auto"/>
          <w:szCs w:val="21"/>
          <w:highlight w:val="none"/>
        </w:rPr>
        <w:t>1.11.2 关于承包人为实施工程所编制文件的著作权的归属：</w:t>
      </w:r>
      <w:bookmarkEnd w:id="1972"/>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关于承包人提供的上述文件的使用限制的要求：</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xml:space="preserve">                                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bookmarkStart w:id="1973" w:name="_Toc20516"/>
      <w:r>
        <w:rPr>
          <w:rFonts w:hint="eastAsia" w:ascii="宋体" w:hAnsi="宋体" w:cs="宋体"/>
          <w:color w:val="auto"/>
          <w:szCs w:val="21"/>
          <w:highlight w:val="none"/>
        </w:rPr>
        <w:t>1.11.4 承包人在施工过程中所采用的专利、专有技术、技术秘密的使用费的承担方式：</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u w:val="single"/>
        </w:rPr>
        <w:t xml:space="preserve">                                                       </w:t>
      </w:r>
      <w:r>
        <w:rPr>
          <w:rFonts w:hint="eastAsia" w:ascii="宋体" w:hAnsi="宋体" w:cs="宋体"/>
          <w:color w:val="auto"/>
          <w:kern w:val="0"/>
          <w:szCs w:val="21"/>
          <w:highlight w:val="none"/>
        </w:rPr>
        <w:t>。</w:t>
      </w:r>
      <w:bookmarkEnd w:id="1973"/>
    </w:p>
    <w:p>
      <w:pPr>
        <w:snapToGrid w:val="0"/>
        <w:spacing w:after="120"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1.13工程量清单错误的修正</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出现工程量清单错误时，是否调整合同价格：</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xml:space="preserve">                                                           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允许调整合同价格的工程量偏差范围：</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u w:val="single"/>
        </w:rPr>
        <w:t xml:space="preserve">                                                           </w:t>
      </w:r>
      <w:r>
        <w:rPr>
          <w:rFonts w:hint="eastAsia" w:ascii="宋体" w:hAnsi="宋体" w:cs="宋体"/>
          <w:color w:val="auto"/>
          <w:kern w:val="0"/>
          <w:szCs w:val="21"/>
          <w:highlight w:val="none"/>
        </w:rPr>
        <w:t>。</w:t>
      </w:r>
    </w:p>
    <w:p>
      <w:pPr>
        <w:pStyle w:val="5"/>
        <w:snapToGrid w:val="0"/>
        <w:spacing w:before="120" w:after="120" w:line="360" w:lineRule="auto"/>
        <w:jc w:val="left"/>
        <w:rPr>
          <w:rFonts w:hint="eastAsia" w:ascii="宋体" w:hAnsi="宋体" w:eastAsia="宋体" w:cs="宋体"/>
          <w:color w:val="auto"/>
          <w:sz w:val="24"/>
          <w:szCs w:val="24"/>
          <w:highlight w:val="none"/>
        </w:rPr>
      </w:pPr>
      <w:bookmarkStart w:id="1974" w:name="_Toc351203634"/>
      <w:r>
        <w:rPr>
          <w:rFonts w:hint="eastAsia" w:ascii="宋体" w:hAnsi="宋体" w:eastAsia="宋体" w:cs="宋体"/>
          <w:color w:val="auto"/>
          <w:sz w:val="24"/>
          <w:szCs w:val="24"/>
          <w:highlight w:val="none"/>
        </w:rPr>
        <w:t>2</w:t>
      </w:r>
      <w:bookmarkStart w:id="1975" w:name="_Toc297120457"/>
      <w:bookmarkStart w:id="1976" w:name="_Toc296503157"/>
      <w:bookmarkStart w:id="1977" w:name="_Toc296891197"/>
      <w:bookmarkStart w:id="1978" w:name="_Toc292559362"/>
      <w:bookmarkStart w:id="1979" w:name="_Toc296944496"/>
      <w:bookmarkStart w:id="1980" w:name="_Toc296346658"/>
      <w:bookmarkStart w:id="1981" w:name="_Toc296890985"/>
      <w:bookmarkStart w:id="1982" w:name="_Toc292559867"/>
      <w:bookmarkStart w:id="1983" w:name="_Toc297048343"/>
      <w:bookmarkStart w:id="1984" w:name="_Toc296347156"/>
      <w:r>
        <w:rPr>
          <w:rFonts w:hint="eastAsia" w:ascii="宋体" w:hAnsi="宋体" w:eastAsia="宋体" w:cs="宋体"/>
          <w:color w:val="auto"/>
          <w:sz w:val="24"/>
          <w:szCs w:val="24"/>
          <w:highlight w:val="none"/>
        </w:rPr>
        <w:t>. 发包人</w:t>
      </w:r>
      <w:bookmarkEnd w:id="1974"/>
    </w:p>
    <w:bookmarkEnd w:id="1975"/>
    <w:bookmarkEnd w:id="1976"/>
    <w:bookmarkEnd w:id="1977"/>
    <w:bookmarkEnd w:id="1978"/>
    <w:bookmarkEnd w:id="1979"/>
    <w:bookmarkEnd w:id="1980"/>
    <w:bookmarkEnd w:id="1981"/>
    <w:bookmarkEnd w:id="1982"/>
    <w:bookmarkEnd w:id="1983"/>
    <w:bookmarkEnd w:id="1984"/>
    <w:p>
      <w:pPr>
        <w:snapToGrid w:val="0"/>
        <w:spacing w:after="120" w:line="360" w:lineRule="auto"/>
        <w:ind w:firstLine="420" w:firstLineChars="200"/>
        <w:jc w:val="left"/>
        <w:rPr>
          <w:rFonts w:ascii="宋体" w:hAnsi="宋体" w:cs="宋体"/>
          <w:color w:val="auto"/>
          <w:szCs w:val="21"/>
          <w:highlight w:val="none"/>
        </w:rPr>
      </w:pPr>
      <w:bookmarkStart w:id="1985" w:name="_Toc29179"/>
      <w:r>
        <w:rPr>
          <w:rFonts w:hint="eastAsia" w:ascii="宋体" w:hAnsi="宋体" w:cs="宋体"/>
          <w:color w:val="auto"/>
          <w:szCs w:val="21"/>
          <w:highlight w:val="none"/>
        </w:rPr>
        <w:t>2.2 发包人代表</w:t>
      </w:r>
      <w:bookmarkEnd w:id="1985"/>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发包人代表：</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    名：</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身份证号：</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职    务：</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发包人对发包人代表的授权范围如下：</w:t>
      </w:r>
    </w:p>
    <w:p>
      <w:pPr>
        <w:snapToGrid w:val="0"/>
        <w:spacing w:line="360" w:lineRule="auto"/>
        <w:ind w:firstLine="420" w:firstLineChars="200"/>
        <w:jc w:val="left"/>
        <w:rPr>
          <w:rFonts w:ascii="宋体" w:hAnsi="宋体" w:cs="宋体"/>
          <w:b/>
          <w:color w:val="auto"/>
          <w:szCs w:val="21"/>
          <w:highlight w:val="none"/>
        </w:rPr>
      </w:pP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1986" w:name="_Toc5351"/>
      <w:r>
        <w:rPr>
          <w:rFonts w:hint="eastAsia" w:ascii="宋体" w:hAnsi="宋体" w:cs="宋体"/>
          <w:color w:val="auto"/>
          <w:szCs w:val="21"/>
          <w:highlight w:val="none"/>
        </w:rPr>
        <w:t>2.4 施工现场、施工条件和基础资料的提供</w:t>
      </w:r>
      <w:bookmarkEnd w:id="1986"/>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提供施工现场</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关于发包人移交施工现场的期限要求：</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2.4.2 提供施工条件</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关于发包人应负责提供施工所需要的条件，包括：</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1987" w:name="_Toc12539"/>
      <w:r>
        <w:rPr>
          <w:rFonts w:hint="eastAsia" w:ascii="宋体" w:hAnsi="宋体" w:cs="宋体"/>
          <w:color w:val="auto"/>
          <w:szCs w:val="21"/>
          <w:highlight w:val="none"/>
        </w:rPr>
        <w:t>2.5 资金来源证明及支付担保</w:t>
      </w:r>
      <w:bookmarkEnd w:id="1987"/>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发包人提供资金来源证明的期限要求：</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发包人是否提供支付担保：</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发包人提供支付担保的形式：</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pStyle w:val="5"/>
        <w:snapToGrid w:val="0"/>
        <w:spacing w:before="120" w:after="120" w:line="360" w:lineRule="auto"/>
        <w:jc w:val="left"/>
        <w:rPr>
          <w:rFonts w:ascii="宋体" w:hAnsi="宋体" w:eastAsia="宋体" w:cs="宋体"/>
          <w:color w:val="auto"/>
          <w:sz w:val="24"/>
          <w:szCs w:val="24"/>
          <w:highlight w:val="none"/>
        </w:rPr>
      </w:pPr>
      <w:bookmarkStart w:id="1988" w:name="_Toc351203635"/>
      <w:r>
        <w:rPr>
          <w:rFonts w:hint="eastAsia" w:ascii="宋体" w:hAnsi="宋体" w:eastAsia="宋体" w:cs="宋体"/>
          <w:color w:val="auto"/>
          <w:sz w:val="24"/>
          <w:szCs w:val="24"/>
          <w:highlight w:val="none"/>
        </w:rPr>
        <w:t>3</w:t>
      </w:r>
      <w:bookmarkStart w:id="1989" w:name="_Toc296944497"/>
      <w:bookmarkStart w:id="1990" w:name="_Toc296503158"/>
      <w:bookmarkStart w:id="1991" w:name="_Toc296347157"/>
      <w:bookmarkStart w:id="1992" w:name="_Toc292559363"/>
      <w:bookmarkStart w:id="1993" w:name="_Toc297120458"/>
      <w:bookmarkStart w:id="1994" w:name="_Toc297048344"/>
      <w:bookmarkStart w:id="1995" w:name="_Toc296890986"/>
      <w:bookmarkStart w:id="1996" w:name="_Toc296346659"/>
      <w:bookmarkStart w:id="1997" w:name="_Toc296891198"/>
      <w:bookmarkStart w:id="1998" w:name="_Toc292559868"/>
      <w:r>
        <w:rPr>
          <w:rFonts w:hint="eastAsia" w:ascii="宋体" w:hAnsi="宋体" w:eastAsia="宋体" w:cs="宋体"/>
          <w:color w:val="auto"/>
          <w:sz w:val="24"/>
          <w:szCs w:val="24"/>
          <w:highlight w:val="none"/>
        </w:rPr>
        <w:t>. 承包人</w:t>
      </w:r>
      <w:bookmarkEnd w:id="1988"/>
    </w:p>
    <w:bookmarkEnd w:id="1989"/>
    <w:bookmarkEnd w:id="1990"/>
    <w:bookmarkEnd w:id="1991"/>
    <w:bookmarkEnd w:id="1992"/>
    <w:bookmarkEnd w:id="1993"/>
    <w:bookmarkEnd w:id="1994"/>
    <w:bookmarkEnd w:id="1995"/>
    <w:bookmarkEnd w:id="1996"/>
    <w:bookmarkEnd w:id="1997"/>
    <w:bookmarkEnd w:id="1998"/>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 承包人的一般义务</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（9）</w:t>
      </w:r>
      <w:r>
        <w:rPr>
          <w:rFonts w:hint="eastAsia" w:ascii="宋体" w:hAnsi="宋体" w:cs="宋体"/>
          <w:color w:val="auto"/>
          <w:szCs w:val="21"/>
          <w:highlight w:val="none"/>
        </w:rPr>
        <w:t>承包人提交的竣工资料的内容：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承包人需要提交的竣工资料套数：</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left="638" w:leftChars="304"/>
        <w:jc w:val="left"/>
        <w:rPr>
          <w:rFonts w:ascii="宋体" w:hAnsi="宋体" w:cs="宋体"/>
          <w:color w:val="auto"/>
          <w:szCs w:val="21"/>
          <w:highlight w:val="none"/>
        </w:rPr>
      </w:pPr>
      <w:r>
        <w:rPr>
          <w:rFonts w:hint="eastAsia" w:ascii="宋体" w:hAnsi="宋体" w:cs="宋体"/>
          <w:color w:val="auto"/>
          <w:szCs w:val="21"/>
          <w:highlight w:val="none"/>
        </w:rPr>
        <w:t>承包人提交的竣工资料的费用承担：</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left="638" w:leftChars="304"/>
        <w:jc w:val="left"/>
        <w:rPr>
          <w:rFonts w:ascii="宋体" w:hAnsi="宋体" w:cs="宋体"/>
          <w:color w:val="auto"/>
          <w:szCs w:val="21"/>
          <w:highlight w:val="none"/>
        </w:rPr>
      </w:pPr>
      <w:r>
        <w:rPr>
          <w:rFonts w:hint="eastAsia" w:ascii="宋体" w:hAnsi="宋体" w:cs="宋体"/>
          <w:color w:val="auto"/>
          <w:szCs w:val="21"/>
          <w:highlight w:val="none"/>
        </w:rPr>
        <w:t>承包人提交的竣工资料移交时间：</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承包人提交的竣工资料形式要求：</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（10）承包人应履行的其他义务：</w:t>
      </w:r>
    </w:p>
    <w:p>
      <w:pPr>
        <w:snapToGrid w:val="0"/>
        <w:spacing w:line="360" w:lineRule="auto"/>
        <w:ind w:firstLine="735" w:firstLineChars="350"/>
        <w:jc w:val="left"/>
        <w:rPr>
          <w:rFonts w:ascii="宋体" w:hAnsi="宋体" w:cs="宋体"/>
          <w:color w:val="auto"/>
          <w:szCs w:val="21"/>
          <w:highlight w:val="none"/>
          <w:u w:val="single"/>
        </w:rPr>
      </w:pPr>
      <w:r>
        <w:rPr>
          <w:rFonts w:ascii="宋体" w:hAnsi="宋体" w:cs="宋体"/>
          <w:color w:val="auto"/>
          <w:szCs w:val="21"/>
          <w:highlight w:val="none"/>
          <w:u w:val="single"/>
        </w:rPr>
        <w:t>①采取有效措施确保安全文明施工，保质保量如期完成工程；</w:t>
      </w:r>
    </w:p>
    <w:p>
      <w:pPr>
        <w:snapToGrid w:val="0"/>
        <w:spacing w:line="360" w:lineRule="auto"/>
        <w:ind w:firstLine="735" w:firstLineChars="350"/>
        <w:jc w:val="left"/>
        <w:rPr>
          <w:rFonts w:ascii="宋体" w:hAnsi="宋体" w:cs="宋体"/>
          <w:color w:val="auto"/>
          <w:szCs w:val="21"/>
          <w:highlight w:val="none"/>
          <w:u w:val="single"/>
        </w:rPr>
      </w:pPr>
      <w:r>
        <w:rPr>
          <w:rFonts w:ascii="宋体" w:hAnsi="宋体" w:cs="宋体"/>
          <w:color w:val="auto"/>
          <w:szCs w:val="21"/>
          <w:highlight w:val="none"/>
          <w:u w:val="single"/>
        </w:rPr>
        <w:t>②妥善协调工程周边关系。</w:t>
      </w:r>
    </w:p>
    <w:p>
      <w:pPr>
        <w:snapToGrid w:val="0"/>
        <w:spacing w:line="360" w:lineRule="auto"/>
        <w:ind w:firstLine="735" w:firstLineChars="350"/>
        <w:jc w:val="left"/>
        <w:rPr>
          <w:rFonts w:ascii="宋体" w:hAnsi="宋体" w:cs="宋体"/>
          <w:color w:val="auto"/>
          <w:szCs w:val="21"/>
          <w:highlight w:val="none"/>
          <w:u w:val="single"/>
        </w:rPr>
      </w:pPr>
      <w:r>
        <w:rPr>
          <w:rFonts w:ascii="宋体" w:hAnsi="宋体" w:cs="宋体"/>
          <w:color w:val="auto"/>
          <w:szCs w:val="21"/>
          <w:highlight w:val="none"/>
          <w:u w:val="single"/>
        </w:rPr>
        <w:t>③不拖欠农民工工资。</w:t>
      </w:r>
    </w:p>
    <w:p>
      <w:pPr>
        <w:snapToGrid w:val="0"/>
        <w:spacing w:line="360" w:lineRule="auto"/>
        <w:ind w:firstLine="735" w:firstLineChars="350"/>
        <w:jc w:val="left"/>
        <w:rPr>
          <w:rFonts w:ascii="宋体" w:hAnsi="宋体" w:cs="宋体"/>
          <w:color w:val="auto"/>
          <w:szCs w:val="21"/>
          <w:highlight w:val="none"/>
        </w:rPr>
      </w:pPr>
      <w:r>
        <w:rPr>
          <w:rFonts w:ascii="宋体" w:hAnsi="宋体" w:cs="宋体"/>
          <w:color w:val="auto"/>
          <w:szCs w:val="21"/>
          <w:highlight w:val="none"/>
          <w:u w:val="single"/>
        </w:rPr>
        <w:t>④严格执行招投标文件约定，</w:t>
      </w:r>
      <w:r>
        <w:rPr>
          <w:color w:val="auto"/>
          <w:highlight w:val="none"/>
          <w:u w:val="single"/>
        </w:rPr>
        <w:t>不转包、不违法分包</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项目负责人</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3.2.1 </w:t>
      </w:r>
      <w:r>
        <w:rPr>
          <w:rFonts w:hint="eastAsia" w:ascii="宋体" w:hAnsi="宋体" w:cs="宋体"/>
          <w:color w:val="auto"/>
          <w:szCs w:val="21"/>
          <w:highlight w:val="none"/>
        </w:rPr>
        <w:t>项目负责人：</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    名：</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身份证号：</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建造师执业资格等级：</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建造师注册证书号：</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建造师执业印章号：</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安全生产考核合格证书号：</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pStyle w:val="30"/>
        <w:outlineLvl w:val="9"/>
        <w:rPr>
          <w:color w:val="auto"/>
          <w:highlight w:val="none"/>
        </w:rPr>
      </w:pP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承包人对项目负责人的授权范围如下：</w:t>
      </w:r>
    </w:p>
    <w:p>
      <w:pPr>
        <w:spacing w:line="440" w:lineRule="exact"/>
        <w:ind w:firstLine="420" w:firstLineChars="200"/>
        <w:outlineLvl w:val="9"/>
        <w:rPr>
          <w:color w:val="auto"/>
          <w:highlight w:val="none"/>
        </w:rPr>
      </w:pPr>
      <w:r>
        <w:rPr>
          <w:color w:val="auto"/>
          <w:highlight w:val="none"/>
          <w:u w:val="single"/>
        </w:rPr>
        <w:t xml:space="preserve"> </w:t>
      </w:r>
      <w:r>
        <w:rPr>
          <w:color w:val="auto"/>
          <w:highlight w:val="none"/>
        </w:rPr>
        <w:t>。</w:t>
      </w:r>
    </w:p>
    <w:p>
      <w:pPr>
        <w:spacing w:line="440" w:lineRule="exact"/>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关于项目负责人每月在施工现场的时间要求及违约责任：</w:t>
      </w:r>
    </w:p>
    <w:p>
      <w:pPr>
        <w:spacing w:line="440" w:lineRule="exact"/>
        <w:ind w:firstLine="420" w:firstLineChars="200"/>
        <w:outlineLvl w:val="9"/>
        <w:rPr>
          <w:rFonts w:ascii="宋体" w:hAnsi="宋体"/>
          <w:color w:val="auto"/>
          <w:szCs w:val="21"/>
          <w:highlight w:val="none"/>
        </w:rPr>
      </w:pPr>
      <w:r>
        <w:rPr>
          <w:rFonts w:hint="eastAsia" w:ascii="宋体" w:hAnsi="宋体" w:cs="宋体"/>
          <w:color w:val="auto"/>
          <w:szCs w:val="21"/>
          <w:highlight w:val="none"/>
          <w:u w:val="single"/>
        </w:rPr>
        <w:t>项目负责人</w:t>
      </w:r>
      <w:r>
        <w:rPr>
          <w:rFonts w:hint="eastAsia" w:ascii="宋体" w:hAnsi="宋体"/>
          <w:color w:val="auto"/>
          <w:szCs w:val="21"/>
          <w:highlight w:val="none"/>
          <w:u w:val="single"/>
        </w:rPr>
        <w:t>驻场时间每月不少于20天。每发现1次未驻场且未按【通用合同条款】第3.2.1款履行请假手续的，承包人按20000元/次 支付违约金</w:t>
      </w:r>
      <w:r>
        <w:rPr>
          <w:rFonts w:hint="eastAsia" w:ascii="宋体" w:hAnsi="宋体"/>
          <w:color w:val="auto"/>
          <w:szCs w:val="21"/>
          <w:highlight w:val="none"/>
        </w:rPr>
        <w:t>。</w:t>
      </w:r>
    </w:p>
    <w:p>
      <w:pPr>
        <w:pStyle w:val="30"/>
        <w:ind w:firstLine="420" w:firstLineChars="200"/>
        <w:outlineLvl w:val="9"/>
        <w:rPr>
          <w:rFonts w:ascii="宋体" w:hAnsi="宋体" w:eastAsia="宋体" w:cs="宋体"/>
          <w:color w:val="auto"/>
          <w:sz w:val="21"/>
          <w:szCs w:val="21"/>
          <w:highlight w:val="none"/>
        </w:rPr>
      </w:pPr>
      <w:bookmarkStart w:id="1999" w:name="_Toc14409"/>
      <w:r>
        <w:rPr>
          <w:rFonts w:hint="eastAsia" w:ascii="宋体" w:hAnsi="宋体" w:eastAsia="宋体" w:cs="宋体"/>
          <w:color w:val="auto"/>
          <w:sz w:val="21"/>
          <w:szCs w:val="21"/>
          <w:highlight w:val="none"/>
        </w:rPr>
        <w:t>承包人未提交项目负责人劳动合同，以及没有为项目负责人缴纳社会保险证明的视作擅自更换项目负责人。</w:t>
      </w:r>
      <w:bookmarkEnd w:id="1999"/>
    </w:p>
    <w:p>
      <w:pPr>
        <w:spacing w:line="440" w:lineRule="exact"/>
        <w:ind w:left="420" w:leftChars="200"/>
        <w:outlineLvl w:val="9"/>
        <w:rPr>
          <w:rFonts w:ascii="宋体" w:hAnsi="宋体" w:cs="宋体"/>
          <w:color w:val="auto"/>
          <w:szCs w:val="21"/>
          <w:highlight w:val="none"/>
        </w:rPr>
      </w:pPr>
      <w:r>
        <w:rPr>
          <w:rFonts w:hint="eastAsia" w:ascii="宋体" w:hAnsi="宋体" w:cs="宋体"/>
          <w:color w:val="auto"/>
          <w:szCs w:val="21"/>
          <w:highlight w:val="none"/>
        </w:rPr>
        <w:t>3.2.3 承包人擅自更换项目负责人的违约责任：</w:t>
      </w:r>
    </w:p>
    <w:p>
      <w:pPr>
        <w:spacing w:line="440" w:lineRule="exact"/>
        <w:ind w:left="0" w:leftChars="0" w:firstLine="420" w:firstLineChars="200"/>
        <w:rPr>
          <w:rFonts w:ascii="宋体" w:hAnsi="宋体" w:cs="宋体"/>
          <w:color w:val="auto"/>
          <w:szCs w:val="21"/>
          <w:highlight w:val="none"/>
          <w:u w:val="single"/>
        </w:rPr>
      </w:pPr>
      <w:r>
        <w:rPr>
          <w:rFonts w:hint="eastAsia" w:ascii="宋体" w:hAnsi="宋体"/>
          <w:color w:val="auto"/>
          <w:szCs w:val="21"/>
          <w:highlight w:val="none"/>
          <w:u w:val="single"/>
        </w:rPr>
        <w:t xml:space="preserve">未经发包人同意擅自更换项目负责人的， </w:t>
      </w:r>
      <w:r>
        <w:rPr>
          <w:rFonts w:ascii="宋体" w:hAnsi="宋体"/>
          <w:color w:val="auto"/>
          <w:szCs w:val="21"/>
          <w:highlight w:val="none"/>
          <w:u w:val="single"/>
        </w:rPr>
        <w:t>承包人按</w:t>
      </w:r>
      <w:r>
        <w:rPr>
          <w:rFonts w:hint="eastAsia"/>
          <w:color w:val="auto"/>
          <w:szCs w:val="21"/>
          <w:highlight w:val="none"/>
          <w:u w:val="single"/>
        </w:rPr>
        <w:t>100000</w:t>
      </w:r>
      <w:r>
        <w:rPr>
          <w:rFonts w:hint="eastAsia" w:ascii="宋体" w:hAnsi="宋体"/>
          <w:color w:val="auto"/>
          <w:szCs w:val="21"/>
          <w:highlight w:val="none"/>
          <w:u w:val="single"/>
        </w:rPr>
        <w:t>元/人•次向发包人支付违约金</w:t>
      </w:r>
      <w:r>
        <w:rPr>
          <w:rFonts w:hint="eastAsia" w:ascii="宋体" w:hAnsi="宋体"/>
          <w:color w:val="auto"/>
          <w:szCs w:val="21"/>
          <w:highlight w:val="none"/>
        </w:rPr>
        <w:t>。</w:t>
      </w:r>
      <w:bookmarkStart w:id="2000" w:name="_Toc13216"/>
    </w:p>
    <w:p>
      <w:pPr>
        <w:spacing w:line="440" w:lineRule="exact"/>
        <w:ind w:left="420" w:leftChars="200"/>
        <w:outlineLvl w:val="9"/>
        <w:rPr>
          <w:rFonts w:ascii="宋体" w:hAnsi="宋体" w:cs="宋体"/>
          <w:color w:val="auto"/>
          <w:szCs w:val="21"/>
          <w:highlight w:val="none"/>
        </w:rPr>
      </w:pPr>
      <w:r>
        <w:rPr>
          <w:rFonts w:hint="eastAsia" w:ascii="宋体" w:hAnsi="宋体" w:cs="宋体"/>
          <w:color w:val="auto"/>
          <w:szCs w:val="21"/>
          <w:highlight w:val="none"/>
        </w:rPr>
        <w:t>3.2.4 承包人无正当理由拒绝更换项目负责人的违约责任：</w:t>
      </w:r>
    </w:p>
    <w:bookmarkEnd w:id="2000"/>
    <w:p>
      <w:pPr>
        <w:spacing w:line="440" w:lineRule="exact"/>
        <w:ind w:firstLine="420" w:firstLineChars="200"/>
        <w:outlineLvl w:val="9"/>
        <w:rPr>
          <w:color w:val="auto"/>
          <w:highlight w:val="none"/>
        </w:rPr>
      </w:pPr>
      <w:r>
        <w:rPr>
          <w:rFonts w:hint="eastAsia"/>
          <w:color w:val="auto"/>
          <w:highlight w:val="none"/>
          <w:u w:val="single"/>
        </w:rPr>
        <w:t>承包人按</w:t>
      </w:r>
      <w:r>
        <w:rPr>
          <w:rFonts w:hint="eastAsia"/>
          <w:color w:val="auto"/>
          <w:szCs w:val="21"/>
          <w:highlight w:val="none"/>
          <w:u w:val="single"/>
        </w:rPr>
        <w:t>100000</w:t>
      </w:r>
      <w:r>
        <w:rPr>
          <w:rFonts w:hint="eastAsia" w:ascii="宋体" w:hAnsi="宋体"/>
          <w:color w:val="auto"/>
          <w:szCs w:val="21"/>
          <w:highlight w:val="none"/>
          <w:u w:val="single"/>
        </w:rPr>
        <w:t>元/人•次向发包人支付违约金</w:t>
      </w:r>
      <w:r>
        <w:rPr>
          <w:color w:val="auto"/>
          <w:highlight w:val="none"/>
          <w:u w:val="single"/>
        </w:rPr>
        <w:t xml:space="preserve"> </w:t>
      </w:r>
      <w:r>
        <w:rPr>
          <w:color w:val="auto"/>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p>
    <w:p>
      <w:pPr>
        <w:snapToGrid w:val="0"/>
        <w:spacing w:after="120"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3.3 承包人人员</w:t>
      </w:r>
    </w:p>
    <w:p>
      <w:pPr>
        <w:snapToGrid w:val="0"/>
        <w:spacing w:line="360" w:lineRule="auto"/>
        <w:ind w:firstLine="420" w:firstLineChars="200"/>
        <w:jc w:val="left"/>
        <w:outlineLvl w:val="9"/>
        <w:rPr>
          <w:rFonts w:ascii="宋体" w:hAnsi="宋体" w:cs="宋体"/>
          <w:color w:val="auto"/>
          <w:szCs w:val="21"/>
          <w:highlight w:val="none"/>
        </w:rPr>
      </w:pPr>
      <w:bookmarkStart w:id="2001" w:name="_Toc109149875"/>
      <w:r>
        <w:rPr>
          <w:rFonts w:hint="eastAsia" w:ascii="宋体" w:hAnsi="宋体" w:cs="宋体"/>
          <w:color w:val="auto"/>
          <w:szCs w:val="21"/>
          <w:highlight w:val="none"/>
        </w:rPr>
        <w:t>3.3.1 承包人提交项目管理机构及施工现场管理人员安排报告的期限：</w:t>
      </w:r>
      <w:bookmarkEnd w:id="2001"/>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xml:space="preserve">  本合同签订后20天内                                             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bookmarkStart w:id="2002" w:name="_Toc109149876"/>
      <w:r>
        <w:rPr>
          <w:rFonts w:hint="eastAsia" w:ascii="宋体" w:hAnsi="宋体" w:cs="宋体"/>
          <w:color w:val="auto"/>
          <w:szCs w:val="21"/>
          <w:highlight w:val="none"/>
        </w:rPr>
        <w:t>3.3.3 承包人无正当理由拒绝撤换其他主要施工管理人员的违约责任：</w:t>
      </w:r>
      <w:bookmarkEnd w:id="2002"/>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color w:val="auto"/>
          <w:highlight w:val="none"/>
          <w:u w:val="single"/>
        </w:rPr>
        <w:t>承包人按</w:t>
      </w:r>
      <w:r>
        <w:rPr>
          <w:rFonts w:hint="eastAsia"/>
          <w:color w:val="auto"/>
          <w:szCs w:val="21"/>
          <w:highlight w:val="none"/>
          <w:u w:val="single"/>
        </w:rPr>
        <w:t>50000</w:t>
      </w:r>
      <w:r>
        <w:rPr>
          <w:rFonts w:hint="eastAsia" w:ascii="宋体" w:hAnsi="宋体"/>
          <w:color w:val="auto"/>
          <w:szCs w:val="21"/>
          <w:highlight w:val="none"/>
          <w:u w:val="single"/>
        </w:rPr>
        <w:t xml:space="preserve"> 元/人•次向发包人支付违约金</w:t>
      </w:r>
      <w:r>
        <w:rPr>
          <w:color w:val="auto"/>
          <w:highlight w:val="none"/>
          <w:u w:val="single"/>
        </w:rPr>
        <w:t></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pPr>
        <w:autoSpaceDE w:val="0"/>
        <w:autoSpaceDN w:val="0"/>
        <w:adjustRightInd w:val="0"/>
        <w:spacing w:line="360" w:lineRule="auto"/>
        <w:ind w:firstLine="420" w:firstLineChars="200"/>
        <w:jc w:val="left"/>
        <w:outlineLvl w:val="9"/>
        <w:rPr>
          <w:rFonts w:ascii="宋体" w:hAnsi="宋体" w:cs="宋体"/>
          <w:color w:val="auto"/>
          <w:szCs w:val="21"/>
          <w:highlight w:val="none"/>
        </w:rPr>
      </w:pPr>
      <w:bookmarkStart w:id="2003" w:name="_Toc109149877"/>
      <w:r>
        <w:rPr>
          <w:rFonts w:hint="eastAsia" w:ascii="宋体" w:hAnsi="宋体" w:cs="宋体"/>
          <w:color w:val="auto"/>
          <w:szCs w:val="21"/>
          <w:highlight w:val="none"/>
        </w:rPr>
        <w:t xml:space="preserve">3.3.4 承包人其他主要施工管理人员离开施工现场的批准要求：  </w:t>
      </w:r>
    </w:p>
    <w:p>
      <w:pPr>
        <w:autoSpaceDE w:val="0"/>
        <w:autoSpaceDN w:val="0"/>
        <w:adjustRightInd w:val="0"/>
        <w:snapToGrid/>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u w:val="single"/>
        </w:rPr>
        <w:t>  技术负责人离开施工现场的应当经发监理人、包人书面同意。承包人</w:t>
      </w:r>
      <w:r>
        <w:rPr>
          <w:rFonts w:hint="eastAsia" w:ascii="宋体" w:hAnsi="宋体" w:cs="宋体"/>
          <w:color w:val="auto"/>
          <w:szCs w:val="21"/>
          <w:highlight w:val="none"/>
          <w:u w:val="single"/>
          <w:lang w:eastAsia="zh-CN"/>
        </w:rPr>
        <w:t>其他</w:t>
      </w:r>
      <w:r>
        <w:rPr>
          <w:rFonts w:hint="eastAsia" w:ascii="宋体" w:hAnsi="宋体" w:cs="宋体"/>
          <w:color w:val="auto"/>
          <w:szCs w:val="21"/>
          <w:highlight w:val="none"/>
          <w:u w:val="single"/>
        </w:rPr>
        <w:t>主要施工管理人员每月离开施工现场5天以下（含）的应当经监理人书面同意，离开5天以上的应当经监理人、发包人书面同意</w:t>
      </w:r>
      <w:r>
        <w:rPr>
          <w:rFonts w:hint="eastAsia" w:ascii="宋体" w:hAnsi="宋体" w:cs="宋体"/>
          <w:color w:val="auto"/>
          <w:kern w:val="0"/>
          <w:szCs w:val="21"/>
          <w:highlight w:val="none"/>
          <w:u w:val="single"/>
        </w:rPr>
        <w:t>。</w:t>
      </w:r>
      <w:bookmarkEnd w:id="2003"/>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3.3.5承包人擅自更换其他主要施工管理人员的违约责任：</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olor w:val="auto"/>
          <w:szCs w:val="21"/>
          <w:highlight w:val="none"/>
          <w:u w:val="single"/>
        </w:rPr>
        <w:t>如</w:t>
      </w:r>
      <w:r>
        <w:rPr>
          <w:rFonts w:ascii="宋体" w:hAnsi="宋体"/>
          <w:color w:val="auto"/>
          <w:szCs w:val="21"/>
          <w:highlight w:val="none"/>
          <w:u w:val="single"/>
        </w:rPr>
        <w:t>发现</w:t>
      </w:r>
      <w:r>
        <w:rPr>
          <w:rFonts w:hint="eastAsia" w:ascii="宋体" w:hAnsi="宋体"/>
          <w:color w:val="auto"/>
          <w:szCs w:val="21"/>
          <w:highlight w:val="none"/>
          <w:u w:val="single"/>
        </w:rPr>
        <w:t>未经发包人同意擅自更换其他主要</w:t>
      </w:r>
      <w:r>
        <w:rPr>
          <w:rFonts w:ascii="宋体" w:hAnsi="宋体"/>
          <w:color w:val="auto"/>
          <w:szCs w:val="21"/>
          <w:highlight w:val="none"/>
          <w:u w:val="single"/>
        </w:rPr>
        <w:t>施工管理人员</w:t>
      </w:r>
      <w:r>
        <w:rPr>
          <w:rFonts w:hint="eastAsia" w:ascii="宋体" w:hAnsi="宋体"/>
          <w:color w:val="auto"/>
          <w:szCs w:val="21"/>
          <w:highlight w:val="none"/>
          <w:u w:val="single"/>
        </w:rPr>
        <w:t xml:space="preserve">的， </w:t>
      </w:r>
      <w:r>
        <w:rPr>
          <w:rFonts w:ascii="宋体" w:hAnsi="宋体"/>
          <w:color w:val="auto"/>
          <w:szCs w:val="21"/>
          <w:highlight w:val="none"/>
          <w:u w:val="single"/>
        </w:rPr>
        <w:t>承包人按</w:t>
      </w:r>
      <w:r>
        <w:rPr>
          <w:rFonts w:hint="eastAsia"/>
          <w:color w:val="auto"/>
          <w:szCs w:val="21"/>
          <w:highlight w:val="none"/>
          <w:u w:val="single"/>
        </w:rPr>
        <w:t>50000</w:t>
      </w:r>
      <w:r>
        <w:rPr>
          <w:rFonts w:hint="eastAsia" w:ascii="宋体" w:hAnsi="宋体"/>
          <w:color w:val="auto"/>
          <w:szCs w:val="21"/>
          <w:highlight w:val="none"/>
          <w:u w:val="single"/>
        </w:rPr>
        <w:t>元/人•次支付违约金</w:t>
      </w:r>
      <w:r>
        <w:rPr>
          <w:rFonts w:ascii="宋体" w:hAnsi="宋体"/>
          <w:color w:val="auto"/>
          <w:szCs w:val="21"/>
          <w:highlight w:val="none"/>
          <w:u w:val="singl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承包人其他主要施工管理人员擅自离开施工现场的违约责任：</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承包人其他主要施工管理人员未</w:t>
      </w:r>
      <w:r>
        <w:rPr>
          <w:rFonts w:hint="eastAsia" w:ascii="宋体" w:hAnsi="宋体"/>
          <w:color w:val="auto"/>
          <w:szCs w:val="21"/>
          <w:highlight w:val="none"/>
          <w:u w:val="single"/>
        </w:rPr>
        <w:t>按照【通用合同条款】第3.3.4款驻场且未履行请假手续的，承包人按10000元/人</w:t>
      </w:r>
      <w:r>
        <w:rPr>
          <w:rFonts w:hint="eastAsia" w:ascii="汉仪大黑简" w:hAnsi="汉仪大黑简" w:eastAsia="汉仪大黑简" w:cs="汉仪大黑简"/>
          <w:color w:val="auto"/>
          <w:szCs w:val="21"/>
          <w:highlight w:val="none"/>
          <w:u w:val="single"/>
        </w:rPr>
        <w:t>·</w:t>
      </w:r>
      <w:r>
        <w:rPr>
          <w:rFonts w:hint="eastAsia" w:ascii="宋体" w:hAnsi="宋体"/>
          <w:color w:val="auto"/>
          <w:szCs w:val="21"/>
          <w:highlight w:val="none"/>
          <w:u w:val="single"/>
        </w:rPr>
        <w:t>次向发包人支付违约金</w:t>
      </w:r>
      <w:r>
        <w:rPr>
          <w:rFonts w:hint="eastAsia" w:ascii="宋体" w:hAnsi="宋体" w:cs="宋体"/>
          <w:color w:val="auto"/>
          <w:szCs w:val="21"/>
          <w:highlight w:val="none"/>
          <w:u w:val="single"/>
        </w:rPr>
        <w:t></w:t>
      </w:r>
      <w:r>
        <w:rPr>
          <w:rFonts w:hint="eastAsia" w:ascii="宋体" w:hAnsi="宋体" w:cs="宋体"/>
          <w:color w:val="auto"/>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w:t>
      </w:r>
      <w:bookmarkStart w:id="2004" w:name="_Toc296891199"/>
      <w:bookmarkStart w:id="2005" w:name="_Toc296503159"/>
      <w:bookmarkStart w:id="2006" w:name="_Toc297120459"/>
      <w:bookmarkStart w:id="2007" w:name="_Toc300934945"/>
      <w:bookmarkStart w:id="2008" w:name="_Toc303539102"/>
      <w:bookmarkStart w:id="2009" w:name="_Toc296346660"/>
      <w:bookmarkStart w:id="2010" w:name="_Toc297048345"/>
      <w:bookmarkStart w:id="2011" w:name="_Toc297216151"/>
      <w:bookmarkStart w:id="2012" w:name="_Toc292559364"/>
      <w:bookmarkStart w:id="2013" w:name="_Toc296890987"/>
      <w:bookmarkStart w:id="2014" w:name="_Toc304295523"/>
      <w:bookmarkStart w:id="2015" w:name="_Toc312677988"/>
      <w:bookmarkStart w:id="2016" w:name="_Toc296347158"/>
      <w:bookmarkStart w:id="2017" w:name="_Toc296944498"/>
      <w:bookmarkStart w:id="2018" w:name="_Toc297123492"/>
      <w:bookmarkStart w:id="2019" w:name="_Toc292559869"/>
      <w:r>
        <w:rPr>
          <w:rFonts w:hint="eastAsia" w:ascii="宋体" w:hAnsi="宋体" w:cs="宋体"/>
          <w:color w:val="auto"/>
          <w:szCs w:val="21"/>
          <w:highlight w:val="none"/>
        </w:rPr>
        <w:t>.5 分包</w:t>
      </w:r>
    </w:p>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w:t>
      </w:r>
      <w:bookmarkStart w:id="2020" w:name="_Toc296890988"/>
      <w:bookmarkStart w:id="2021" w:name="_Toc296347159"/>
      <w:bookmarkStart w:id="2022" w:name="_Toc296503160"/>
      <w:bookmarkStart w:id="2023" w:name="_Toc296346661"/>
      <w:bookmarkStart w:id="2024" w:name="_Toc297123493"/>
      <w:bookmarkStart w:id="2025" w:name="_Toc296891200"/>
      <w:bookmarkStart w:id="2026" w:name="_Toc292559870"/>
      <w:bookmarkStart w:id="2027" w:name="_Toc300934946"/>
      <w:bookmarkStart w:id="2028" w:name="_Toc304295524"/>
      <w:bookmarkStart w:id="2029" w:name="_Toc297216152"/>
      <w:bookmarkStart w:id="2030" w:name="_Toc303539103"/>
      <w:bookmarkStart w:id="2031" w:name="_Toc297048346"/>
      <w:bookmarkStart w:id="2032" w:name="_Toc296944499"/>
      <w:bookmarkStart w:id="2033" w:name="_Toc292559365"/>
      <w:bookmarkStart w:id="2034" w:name="_Toc297120460"/>
      <w:bookmarkStart w:id="2035" w:name="_Toc312677989"/>
      <w:bookmarkStart w:id="2036" w:name="_Toc318581158"/>
      <w:r>
        <w:rPr>
          <w:rFonts w:hint="eastAsia" w:ascii="宋体" w:hAnsi="宋体" w:cs="宋体"/>
          <w:color w:val="auto"/>
          <w:szCs w:val="21"/>
          <w:highlight w:val="none"/>
        </w:rPr>
        <w:t>.5.1 分包的一般约定</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禁止分包的工程包括：</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主体结构、关键性工作的范围：</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Start w:id="2037" w:name="_Toc296891201"/>
      <w:bookmarkStart w:id="2038" w:name="_Toc297120461"/>
      <w:bookmarkStart w:id="2039" w:name="_Toc296347160"/>
      <w:bookmarkStart w:id="2040" w:name="_Toc296944500"/>
      <w:bookmarkStart w:id="2041" w:name="_Toc296346662"/>
      <w:bookmarkStart w:id="2042" w:name="_Toc296503161"/>
      <w:bookmarkStart w:id="2043" w:name="_Toc304295525"/>
      <w:bookmarkStart w:id="2044" w:name="_Toc297123494"/>
      <w:bookmarkStart w:id="2045" w:name="_Toc303539104"/>
      <w:bookmarkStart w:id="2046" w:name="_Toc297048347"/>
      <w:bookmarkStart w:id="2047" w:name="_Toc296890989"/>
      <w:bookmarkStart w:id="2048" w:name="_Toc297216153"/>
      <w:bookmarkStart w:id="2049" w:name="_Toc300934947"/>
    </w:p>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p>
      <w:pPr>
        <w:snapToGrid w:val="0"/>
        <w:spacing w:line="360" w:lineRule="auto"/>
        <w:jc w:val="left"/>
        <w:outlineLvl w:val="9"/>
        <w:rPr>
          <w:rFonts w:ascii="宋体" w:hAnsi="宋体" w:cs="宋体"/>
          <w:color w:val="auto"/>
          <w:szCs w:val="21"/>
          <w:highlight w:val="none"/>
        </w:rPr>
      </w:pPr>
      <w:r>
        <w:rPr>
          <w:rFonts w:hint="eastAsia" w:ascii="宋体" w:hAnsi="宋体" w:cs="宋体"/>
          <w:color w:val="auto"/>
          <w:szCs w:val="21"/>
          <w:highlight w:val="none"/>
        </w:rPr>
        <w:t xml:space="preserve">    3</w:t>
      </w:r>
      <w:bookmarkStart w:id="2050" w:name="_Toc312677990"/>
      <w:bookmarkStart w:id="2051" w:name="_Toc318581159"/>
      <w:r>
        <w:rPr>
          <w:rFonts w:hint="eastAsia" w:ascii="宋体" w:hAnsi="宋体" w:cs="宋体"/>
          <w:color w:val="auto"/>
          <w:szCs w:val="21"/>
          <w:highlight w:val="none"/>
        </w:rPr>
        <w:t>.5.2分包的确定</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允许分包的专业工程包括：</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rPr>
        <w:t>其他关于分包的约定：</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3.5.4 分包合同价款</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关于分包合同价款支付的约定：</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bookmarkEnd w:id="2050"/>
    <w:bookmarkEnd w:id="2051"/>
    <w:p>
      <w:pPr>
        <w:snapToGrid w:val="0"/>
        <w:spacing w:after="120"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3.6 工程照管与成品、半成品保护</w:t>
      </w:r>
    </w:p>
    <w:p>
      <w:pPr>
        <w:spacing w:line="400" w:lineRule="exact"/>
        <w:ind w:firstLine="420" w:firstLineChars="200"/>
        <w:outlineLvl w:val="9"/>
        <w:rPr>
          <w:color w:val="auto"/>
          <w:highlight w:val="none"/>
        </w:rPr>
      </w:pPr>
      <w:r>
        <w:rPr>
          <w:color w:val="auto"/>
          <w:highlight w:val="none"/>
        </w:rPr>
        <w:t>承包人负责照管工程及工程相关的材料、工程设备的起始时间：</w:t>
      </w:r>
    </w:p>
    <w:p>
      <w:pPr>
        <w:snapToGrid w:val="0"/>
        <w:spacing w:before="120" w:after="120"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szCs w:val="21"/>
          <w:highlight w:val="none"/>
          <w:u w:val="single"/>
        </w:rPr>
        <w:t xml:space="preserve">                                                           </w:t>
      </w:r>
      <w:r>
        <w:rPr>
          <w:rFonts w:hint="eastAsia" w:ascii="宋体" w:hAnsi="宋体" w:cs="宋体"/>
          <w:color w:val="auto"/>
          <w:kern w:val="0"/>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3.7 履约担保</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承包人是否提供履约担保：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rPr>
        <w:t>承包人提供履约担保的形式、金额及期限的：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pStyle w:val="5"/>
        <w:snapToGrid w:val="0"/>
        <w:spacing w:before="120" w:after="120" w:line="360" w:lineRule="auto"/>
        <w:jc w:val="left"/>
        <w:rPr>
          <w:rFonts w:hint="eastAsia" w:ascii="宋体" w:hAnsi="宋体" w:eastAsia="宋体" w:cs="宋体"/>
          <w:color w:val="auto"/>
          <w:sz w:val="24"/>
          <w:szCs w:val="24"/>
          <w:highlight w:val="none"/>
        </w:rPr>
      </w:pPr>
      <w:bookmarkStart w:id="2052" w:name="_Toc351203636"/>
      <w:r>
        <w:rPr>
          <w:rFonts w:hint="eastAsia" w:ascii="宋体" w:hAnsi="宋体" w:eastAsia="宋体" w:cs="宋体"/>
          <w:color w:val="auto"/>
          <w:sz w:val="24"/>
          <w:szCs w:val="24"/>
          <w:highlight w:val="none"/>
        </w:rPr>
        <w:t>4</w:t>
      </w:r>
      <w:bookmarkStart w:id="2053" w:name="_Toc296347161"/>
      <w:bookmarkStart w:id="2054" w:name="_Toc296503162"/>
      <w:bookmarkStart w:id="2055" w:name="_Toc267251413"/>
      <w:bookmarkStart w:id="2056" w:name="_Toc297120462"/>
      <w:bookmarkStart w:id="2057" w:name="_Toc296891202"/>
      <w:bookmarkStart w:id="2058" w:name="_Toc292559366"/>
      <w:bookmarkStart w:id="2059" w:name="_Toc297048348"/>
      <w:bookmarkStart w:id="2060" w:name="_Toc296944501"/>
      <w:bookmarkStart w:id="2061" w:name="_Toc296346663"/>
      <w:bookmarkStart w:id="2062" w:name="_Toc292559871"/>
      <w:bookmarkStart w:id="2063" w:name="_Toc296890990"/>
      <w:r>
        <w:rPr>
          <w:rFonts w:hint="eastAsia" w:ascii="宋体" w:hAnsi="宋体" w:eastAsia="宋体" w:cs="宋体"/>
          <w:color w:val="auto"/>
          <w:sz w:val="24"/>
          <w:szCs w:val="24"/>
          <w:highlight w:val="none"/>
        </w:rPr>
        <w:t>. 监</w:t>
      </w:r>
      <w:bookmarkEnd w:id="2053"/>
      <w:bookmarkEnd w:id="2054"/>
      <w:bookmarkEnd w:id="2055"/>
      <w:bookmarkEnd w:id="2056"/>
      <w:bookmarkEnd w:id="2057"/>
      <w:bookmarkEnd w:id="2058"/>
      <w:bookmarkEnd w:id="2059"/>
      <w:bookmarkEnd w:id="2060"/>
      <w:bookmarkEnd w:id="2061"/>
      <w:bookmarkEnd w:id="2062"/>
      <w:bookmarkEnd w:id="2063"/>
      <w:r>
        <w:rPr>
          <w:rFonts w:hint="eastAsia" w:ascii="宋体" w:hAnsi="宋体" w:eastAsia="宋体" w:cs="宋体"/>
          <w:color w:val="auto"/>
          <w:sz w:val="24"/>
          <w:szCs w:val="24"/>
          <w:highlight w:val="none"/>
        </w:rPr>
        <w:t>理人</w:t>
      </w:r>
      <w:bookmarkEnd w:id="2052"/>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4.1监理人的一般规定</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关于监理人的监理内容：</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关于监理人的监理权限：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关于监理人在施工现场的办公场所、生活场所的提供和费用承担的约定：</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 监理人员</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总监理工程师：</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    名：</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职    务：</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监理工程师执业资格证书号：</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关于监理人的其他约定：</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4.4 商定或确定</w:t>
      </w:r>
    </w:p>
    <w:p>
      <w:pPr>
        <w:snapToGrid w:val="0"/>
        <w:spacing w:line="360" w:lineRule="auto"/>
        <w:ind w:firstLine="420" w:firstLineChars="200"/>
        <w:jc w:val="left"/>
        <w:rPr>
          <w:rFonts w:ascii="宋体" w:hAnsi="宋体" w:cs="宋体"/>
          <w:color w:val="auto"/>
          <w:szCs w:val="21"/>
          <w:highlight w:val="none"/>
        </w:rPr>
      </w:pPr>
      <w:bookmarkStart w:id="2064" w:name="_Toc267251418"/>
      <w:r>
        <w:rPr>
          <w:rFonts w:hint="eastAsia" w:ascii="宋体" w:hAnsi="宋体" w:cs="宋体"/>
          <w:color w:val="auto"/>
          <w:szCs w:val="21"/>
          <w:highlight w:val="none"/>
        </w:rPr>
        <w:t>在发包人和承包人不能通过协商达成一致意见时，发包人授权监理人对以下事项进行确定：</w:t>
      </w:r>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宋体"/>
          <w:color w:val="auto"/>
          <w:szCs w:val="21"/>
          <w:highlight w:val="none"/>
        </w:rPr>
        <w:t>；</w:t>
      </w:r>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w:t>
      </w:r>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szCs w:val="21"/>
          <w:highlight w:val="none"/>
        </w:rPr>
        <w:t>。</w:t>
      </w:r>
    </w:p>
    <w:p>
      <w:pPr>
        <w:pStyle w:val="5"/>
        <w:snapToGrid w:val="0"/>
        <w:spacing w:before="120" w:after="120" w:line="360" w:lineRule="auto"/>
        <w:jc w:val="left"/>
        <w:rPr>
          <w:rFonts w:ascii="宋体" w:hAnsi="宋体" w:eastAsia="宋体" w:cs="宋体"/>
          <w:color w:val="auto"/>
          <w:sz w:val="24"/>
          <w:szCs w:val="24"/>
          <w:highlight w:val="none"/>
        </w:rPr>
      </w:pPr>
      <w:bookmarkStart w:id="2065" w:name="_Toc351203637"/>
      <w:r>
        <w:rPr>
          <w:rFonts w:hint="eastAsia" w:ascii="宋体" w:hAnsi="宋体" w:eastAsia="宋体" w:cs="宋体"/>
          <w:color w:val="auto"/>
          <w:sz w:val="24"/>
          <w:szCs w:val="24"/>
          <w:highlight w:val="none"/>
        </w:rPr>
        <w:t>5</w:t>
      </w:r>
      <w:bookmarkEnd w:id="2064"/>
      <w:bookmarkStart w:id="2066" w:name="_Toc292559367"/>
      <w:bookmarkStart w:id="2067" w:name="_Toc296891203"/>
      <w:bookmarkStart w:id="2068" w:name="_Toc292559872"/>
      <w:bookmarkStart w:id="2069" w:name="_Toc296346664"/>
      <w:bookmarkStart w:id="2070" w:name="_Toc296347162"/>
      <w:bookmarkStart w:id="2071" w:name="_Toc297048349"/>
      <w:bookmarkStart w:id="2072" w:name="_Toc296503163"/>
      <w:bookmarkStart w:id="2073" w:name="_Toc296944502"/>
      <w:bookmarkStart w:id="2074" w:name="_Toc296890991"/>
      <w:bookmarkStart w:id="2075" w:name="_Toc297120463"/>
      <w:r>
        <w:rPr>
          <w:rFonts w:hint="eastAsia" w:ascii="宋体" w:hAnsi="宋体" w:eastAsia="宋体" w:cs="宋体"/>
          <w:color w:val="auto"/>
          <w:sz w:val="24"/>
          <w:szCs w:val="24"/>
          <w:highlight w:val="none"/>
        </w:rPr>
        <w:t>. 工程质量</w:t>
      </w:r>
      <w:bookmarkEnd w:id="2065"/>
    </w:p>
    <w:p>
      <w:pPr>
        <w:snapToGrid w:val="0"/>
        <w:spacing w:after="120" w:line="360" w:lineRule="auto"/>
        <w:ind w:firstLine="420" w:firstLineChars="200"/>
        <w:jc w:val="left"/>
        <w:rPr>
          <w:rFonts w:ascii="宋体" w:hAnsi="宋体" w:cs="宋体"/>
          <w:color w:val="auto"/>
          <w:szCs w:val="21"/>
          <w:highlight w:val="none"/>
        </w:rPr>
      </w:pPr>
      <w:bookmarkStart w:id="2076" w:name="_Toc14019"/>
      <w:r>
        <w:rPr>
          <w:rFonts w:hint="eastAsia" w:ascii="宋体" w:hAnsi="宋体" w:cs="宋体"/>
          <w:color w:val="auto"/>
          <w:szCs w:val="21"/>
          <w:highlight w:val="none"/>
        </w:rPr>
        <w:t>5.1 质量要求</w:t>
      </w:r>
      <w:bookmarkEnd w:id="2076"/>
    </w:p>
    <w:p>
      <w:pPr>
        <w:snapToGrid w:val="0"/>
        <w:spacing w:line="360" w:lineRule="auto"/>
        <w:ind w:right="248" w:firstLine="420"/>
        <w:jc w:val="left"/>
        <w:rPr>
          <w:rFonts w:cs="宋体"/>
          <w:color w:val="auto"/>
          <w:szCs w:val="21"/>
          <w:highlight w:val="none"/>
          <w:u w:val="single"/>
        </w:rPr>
      </w:pPr>
      <w:r>
        <w:rPr>
          <w:rFonts w:hint="eastAsia" w:ascii="宋体" w:hAnsi="宋体" w:cs="宋体"/>
          <w:color w:val="auto"/>
          <w:szCs w:val="21"/>
          <w:highlight w:val="none"/>
        </w:rPr>
        <w:t>5</w:t>
      </w:r>
      <w:bookmarkStart w:id="2077" w:name="_Toc318581164"/>
      <w:bookmarkStart w:id="2078" w:name="_Toc297216155"/>
      <w:bookmarkStart w:id="2079" w:name="_Toc304295527"/>
      <w:bookmarkStart w:id="2080" w:name="_Toc312677997"/>
      <w:bookmarkStart w:id="2081" w:name="_Toc300934949"/>
      <w:bookmarkStart w:id="2082" w:name="_Toc297123496"/>
      <w:bookmarkStart w:id="2083" w:name="_Toc303539106"/>
      <w:r>
        <w:rPr>
          <w:rFonts w:hint="eastAsia" w:ascii="宋体" w:hAnsi="宋体" w:cs="宋体"/>
          <w:color w:val="auto"/>
          <w:szCs w:val="21"/>
          <w:highlight w:val="none"/>
        </w:rPr>
        <w:t>.1.1 特殊质量标准和要求：</w:t>
      </w:r>
      <w:r>
        <w:rPr>
          <w:rFonts w:hint="eastAsia" w:ascii="宋体" w:hAnsi="宋体" w:cs="宋体"/>
          <w:color w:val="auto"/>
          <w:highlight w:val="none"/>
          <w:u w:val="single"/>
        </w:rPr>
        <w:t>工程质量按《高标准农田建设通则</w:t>
      </w:r>
      <w:r>
        <w:rPr>
          <w:rFonts w:hint="eastAsia" w:ascii="宋体" w:hAnsi="宋体" w:cs="宋体"/>
          <w:color w:val="auto"/>
          <w:szCs w:val="21"/>
          <w:highlight w:val="none"/>
          <w:u w:val="single"/>
        </w:rPr>
        <w:t>》（GB/T</w:t>
      </w:r>
      <w:r>
        <w:rPr>
          <w:rFonts w:hint="eastAsia" w:cs="宋体"/>
          <w:color w:val="auto"/>
          <w:szCs w:val="21"/>
          <w:highlight w:val="none"/>
          <w:u w:val="single"/>
        </w:rPr>
        <w:t>30600</w:t>
      </w:r>
      <w:r>
        <w:rPr>
          <w:rFonts w:hint="eastAsia" w:ascii="宋体" w:hAnsi="宋体" w:cs="宋体"/>
          <w:color w:val="auto"/>
          <w:szCs w:val="21"/>
          <w:highlight w:val="none"/>
          <w:u w:val="single"/>
        </w:rPr>
        <w:t>-</w:t>
      </w:r>
      <w:r>
        <w:rPr>
          <w:rFonts w:hint="eastAsia" w:cs="宋体"/>
          <w:color w:val="auto"/>
          <w:szCs w:val="21"/>
          <w:highlight w:val="none"/>
          <w:u w:val="single"/>
        </w:rPr>
        <w:t>2022）</w:t>
      </w:r>
      <w:r>
        <w:rPr>
          <w:rFonts w:hint="eastAsia" w:ascii="宋体" w:hAnsi="宋体" w:cs="宋体"/>
          <w:color w:val="auto"/>
          <w:szCs w:val="21"/>
          <w:highlight w:val="none"/>
          <w:u w:val="single"/>
        </w:rPr>
        <w:t>、</w:t>
      </w:r>
      <w:r>
        <w:rPr>
          <w:rFonts w:hint="eastAsia" w:ascii="宋体" w:hAnsi="宋体" w:cs="宋体"/>
          <w:color w:val="auto"/>
          <w:highlight w:val="none"/>
          <w:u w:val="single"/>
        </w:rPr>
        <w:t>《广东省高标准农田建设项目初步设计文件编制技术规程(试行)》（粤农农办〔2022〕150 号）</w:t>
      </w:r>
      <w:r>
        <w:rPr>
          <w:rFonts w:hint="eastAsia" w:ascii="宋体" w:hAnsi="宋体" w:cs="宋体"/>
          <w:color w:val="auto"/>
          <w:highlight w:val="none"/>
          <w:u w:val="single"/>
          <w:lang w:eastAsia="zh-CN"/>
        </w:rPr>
        <w:t>、《土地整治工程质量检验与评定规程》（TD</w:t>
      </w:r>
      <w:r>
        <w:rPr>
          <w:rFonts w:hint="eastAsia" w:ascii="宋体" w:hAnsi="宋体" w:cs="宋体"/>
          <w:color w:val="auto"/>
          <w:highlight w:val="none"/>
          <w:u w:val="single"/>
          <w:lang w:val="en-US" w:eastAsia="zh-CN"/>
        </w:rPr>
        <w:t>/</w:t>
      </w:r>
      <w:r>
        <w:rPr>
          <w:rFonts w:hint="eastAsia" w:ascii="宋体" w:hAnsi="宋体" w:cs="宋体"/>
          <w:color w:val="auto"/>
          <w:highlight w:val="none"/>
          <w:u w:val="single"/>
          <w:lang w:eastAsia="zh-CN"/>
        </w:rPr>
        <w:t>T</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u w:val="single"/>
          <w:lang w:eastAsia="zh-CN"/>
        </w:rPr>
        <w:t>1041-2022）</w:t>
      </w:r>
      <w:r>
        <w:rPr>
          <w:rFonts w:hint="eastAsia" w:ascii="宋体" w:hAnsi="宋体" w:cs="宋体"/>
          <w:color w:val="auto"/>
          <w:highlight w:val="none"/>
          <w:u w:val="single"/>
          <w:lang w:val="en-US" w:eastAsia="zh-CN"/>
        </w:rPr>
        <w:t>、《水利水电工程施工质量检验与评定规程》（SL 176-2019）</w:t>
      </w:r>
      <w:r>
        <w:rPr>
          <w:rFonts w:hint="eastAsia" w:ascii="宋体" w:hAnsi="宋体" w:cs="宋体"/>
          <w:color w:val="auto"/>
          <w:szCs w:val="21"/>
          <w:highlight w:val="none"/>
          <w:u w:val="single"/>
        </w:rPr>
        <w:t>以及其引用的技术规范、</w:t>
      </w:r>
      <w:r>
        <w:rPr>
          <w:rFonts w:hint="eastAsia" w:cs="宋体"/>
          <w:color w:val="auto"/>
          <w:szCs w:val="21"/>
          <w:highlight w:val="none"/>
          <w:u w:val="single"/>
        </w:rPr>
        <w:t>标准执行。</w:t>
      </w:r>
    </w:p>
    <w:p>
      <w:pPr>
        <w:overflowPunct w:val="0"/>
        <w:autoSpaceDE w:val="0"/>
        <w:autoSpaceDN w:val="0"/>
        <w:snapToGrid w:val="0"/>
        <w:spacing w:after="120" w:line="360" w:lineRule="auto"/>
        <w:ind w:firstLine="420" w:firstLineChars="200"/>
        <w:jc w:val="left"/>
        <w:rPr>
          <w:rFonts w:ascii="宋体" w:hAnsi="宋体" w:cs="宋体"/>
          <w:color w:val="auto"/>
          <w:szCs w:val="21"/>
          <w:highlight w:val="none"/>
        </w:rPr>
      </w:pPr>
      <w:bookmarkStart w:id="2084" w:name="_Toc7451"/>
      <w:r>
        <w:rPr>
          <w:rFonts w:hint="eastAsia" w:ascii="宋体" w:hAnsi="宋体" w:cs="宋体"/>
          <w:color w:val="auto"/>
          <w:szCs w:val="21"/>
          <w:highlight w:val="none"/>
        </w:rPr>
        <w:t>5.3 隐蔽工程检查</w:t>
      </w:r>
      <w:bookmarkEnd w:id="2084"/>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5.3.2承包人提前通知发包人、设计人、监理人隐蔽工程检查的期限的约定：</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发包人、设计人、监理人不能按时进行检查时，应提前小时提交书面延期要求。</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关于延期最长不得超过：</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小时。</w:t>
      </w:r>
    </w:p>
    <w:p>
      <w:pPr>
        <w:pStyle w:val="5"/>
        <w:snapToGrid w:val="0"/>
        <w:spacing w:before="120" w:after="120" w:line="360" w:lineRule="auto"/>
        <w:jc w:val="left"/>
        <w:rPr>
          <w:rFonts w:ascii="宋体" w:hAnsi="宋体" w:eastAsia="宋体" w:cs="宋体"/>
          <w:color w:val="auto"/>
          <w:sz w:val="24"/>
          <w:szCs w:val="24"/>
          <w:highlight w:val="none"/>
        </w:rPr>
      </w:pPr>
      <w:bookmarkStart w:id="2085" w:name="_Toc351203638"/>
      <w:r>
        <w:rPr>
          <w:rFonts w:hint="eastAsia" w:ascii="宋体" w:hAnsi="宋体" w:eastAsia="宋体" w:cs="宋体"/>
          <w:color w:val="auto"/>
          <w:sz w:val="24"/>
          <w:szCs w:val="24"/>
          <w:highlight w:val="none"/>
        </w:rPr>
        <w:t>6. 安全文明施工与环境保护</w:t>
      </w:r>
      <w:bookmarkEnd w:id="2085"/>
    </w:p>
    <w:p>
      <w:pPr>
        <w:overflowPunct w:val="0"/>
        <w:autoSpaceDE w:val="0"/>
        <w:autoSpaceDN w:val="0"/>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6.1安全文明施工</w:t>
      </w:r>
    </w:p>
    <w:p>
      <w:pPr>
        <w:overflowPunct w:val="0"/>
        <w:autoSpaceDE w:val="0"/>
        <w:autoSpaceDN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6.1.1 项目安全生产的达标目标及相应事项的约定：。</w:t>
      </w:r>
    </w:p>
    <w:p>
      <w:pPr>
        <w:overflowPunct w:val="0"/>
        <w:autoSpaceDE w:val="0"/>
        <w:autoSpaceDN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6.1.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 xml:space="preserve"> 关于治安保卫的特别约定：。</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关于编制施工场地治安管理计划的约定：。</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 文明施工</w:t>
      </w:r>
    </w:p>
    <w:p>
      <w:pPr>
        <w:overflowPunct w:val="0"/>
        <w:autoSpaceDE w:val="0"/>
        <w:autoSpaceDN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合同当事人对文明施工的要求：。</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w:t>
      </w:r>
      <w:r>
        <w:rPr>
          <w:rFonts w:hint="eastAsia" w:ascii="宋体" w:hAnsi="宋体" w:cs="宋体"/>
          <w:color w:val="auto"/>
          <w:szCs w:val="21"/>
          <w:highlight w:val="none"/>
          <w:lang w:val="en-US" w:eastAsia="zh-CN"/>
        </w:rPr>
        <w:t xml:space="preserve">4 </w:t>
      </w:r>
      <w:r>
        <w:rPr>
          <w:rFonts w:hint="eastAsia" w:ascii="宋体" w:hAnsi="宋体" w:cs="宋体"/>
          <w:color w:val="auto"/>
          <w:szCs w:val="21"/>
          <w:highlight w:val="none"/>
        </w:rPr>
        <w:t>关于安全文明施工费支付比例和支付期限的约定：。</w:t>
      </w:r>
    </w:p>
    <w:bookmarkEnd w:id="2077"/>
    <w:bookmarkEnd w:id="2078"/>
    <w:bookmarkEnd w:id="2079"/>
    <w:bookmarkEnd w:id="2080"/>
    <w:bookmarkEnd w:id="2081"/>
    <w:bookmarkEnd w:id="2082"/>
    <w:bookmarkEnd w:id="2083"/>
    <w:p>
      <w:pPr>
        <w:pStyle w:val="5"/>
        <w:snapToGrid w:val="0"/>
        <w:spacing w:before="120" w:after="120" w:line="360" w:lineRule="auto"/>
        <w:jc w:val="left"/>
        <w:rPr>
          <w:rFonts w:ascii="宋体" w:hAnsi="宋体" w:eastAsia="宋体" w:cs="宋体"/>
          <w:color w:val="auto"/>
          <w:sz w:val="24"/>
          <w:szCs w:val="24"/>
          <w:highlight w:val="none"/>
        </w:rPr>
      </w:pPr>
      <w:bookmarkStart w:id="2086" w:name="_Toc351203639"/>
      <w:r>
        <w:rPr>
          <w:rFonts w:hint="eastAsia" w:ascii="宋体" w:hAnsi="宋体" w:eastAsia="宋体" w:cs="宋体"/>
          <w:color w:val="auto"/>
          <w:sz w:val="24"/>
          <w:szCs w:val="24"/>
          <w:highlight w:val="none"/>
        </w:rPr>
        <w:t>7. 工期和进度</w:t>
      </w:r>
      <w:bookmarkEnd w:id="2086"/>
    </w:p>
    <w:p>
      <w:pPr>
        <w:overflowPunct w:val="0"/>
        <w:autoSpaceDE w:val="0"/>
        <w:autoSpaceDN w:val="0"/>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7.1 施工组织设计</w:t>
      </w:r>
    </w:p>
    <w:p>
      <w:pPr>
        <w:overflowPunct w:val="0"/>
        <w:autoSpaceDE w:val="0"/>
        <w:autoSpaceDN w:val="0"/>
        <w:adjustRightInd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7.1.1 合</w:t>
      </w:r>
      <w:r>
        <w:rPr>
          <w:rFonts w:hint="eastAsia" w:ascii="宋体" w:hAnsi="宋体" w:cs="宋体"/>
          <w:color w:val="auto"/>
          <w:kern w:val="0"/>
          <w:szCs w:val="21"/>
          <w:highlight w:val="none"/>
        </w:rPr>
        <w:t>同当事人约定的施工组织设计应包括的其他内容：</w:t>
      </w:r>
      <w:r>
        <w:rPr>
          <w:rFonts w:hint="eastAsia" w:ascii="宋体" w:hAnsi="宋体" w:cs="宋体"/>
          <w:color w:val="auto"/>
          <w:szCs w:val="21"/>
          <w:highlight w:val="none"/>
        </w:rPr>
        <w:t>。</w:t>
      </w:r>
    </w:p>
    <w:p>
      <w:pPr>
        <w:overflowPunct w:val="0"/>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 xml:space="preserve">7.1.2 </w:t>
      </w:r>
      <w:r>
        <w:rPr>
          <w:rFonts w:hint="eastAsia" w:ascii="宋体" w:hAnsi="宋体" w:cs="宋体"/>
          <w:color w:val="auto"/>
          <w:kern w:val="0"/>
          <w:szCs w:val="21"/>
          <w:highlight w:val="none"/>
        </w:rPr>
        <w:t>施工组织设计的提交和修改</w:t>
      </w:r>
    </w:p>
    <w:p>
      <w:pPr>
        <w:overflowPunct w:val="0"/>
        <w:autoSpaceDE w:val="0"/>
        <w:autoSpaceDN w:val="0"/>
        <w:adjustRightInd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承包人提交详细施工组织设计的期限的约定：</w:t>
      </w:r>
      <w:r>
        <w:rPr>
          <w:rFonts w:hint="eastAsia" w:ascii="宋体" w:hAnsi="宋体" w:cs="宋体"/>
          <w:color w:val="auto"/>
          <w:szCs w:val="21"/>
          <w:highlight w:val="none"/>
        </w:rPr>
        <w:t>。</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发包人和监理人在收到详细的施工组织设计后确认或提出修改意见的期限：。</w:t>
      </w:r>
    </w:p>
    <w:p>
      <w:pPr>
        <w:overflowPunct w:val="0"/>
        <w:autoSpaceDE w:val="0"/>
        <w:autoSpaceDN w:val="0"/>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w:t>
      </w:r>
      <w:bookmarkStart w:id="2087" w:name="_Toc303539123"/>
      <w:bookmarkStart w:id="2088" w:name="_Toc297216173"/>
      <w:bookmarkStart w:id="2089" w:name="_Toc300934966"/>
      <w:bookmarkStart w:id="2090" w:name="_Toc304295541"/>
      <w:bookmarkStart w:id="2091" w:name="_Toc297123514"/>
      <w:bookmarkStart w:id="2092" w:name="_Toc312678005"/>
      <w:bookmarkStart w:id="2093" w:name="_Toc312677479"/>
      <w:r>
        <w:rPr>
          <w:rFonts w:hint="eastAsia" w:ascii="宋体" w:hAnsi="宋体" w:cs="宋体"/>
          <w:color w:val="auto"/>
          <w:szCs w:val="21"/>
          <w:highlight w:val="none"/>
        </w:rPr>
        <w:t>.2 施工进度计划</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7.2.2 施工进度计划的修订</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发包人和监理人在收到修订的施工进度计划后确认或提出修改意见的期限：。</w:t>
      </w:r>
    </w:p>
    <w:p>
      <w:pPr>
        <w:overflowPunct w:val="0"/>
        <w:autoSpaceDE w:val="0"/>
        <w:autoSpaceDN w:val="0"/>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 开工</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7.3.1 开工准备</w:t>
      </w:r>
    </w:p>
    <w:p>
      <w:pPr>
        <w:overflowPunct w:val="0"/>
        <w:autoSpaceDE w:val="0"/>
        <w:autoSpaceDN w:val="0"/>
        <w:snapToGrid w:val="0"/>
        <w:spacing w:line="360" w:lineRule="auto"/>
        <w:ind w:firstLine="645"/>
        <w:jc w:val="left"/>
        <w:rPr>
          <w:rFonts w:ascii="宋体" w:hAnsi="宋体" w:cs="宋体"/>
          <w:color w:val="auto"/>
          <w:szCs w:val="21"/>
          <w:highlight w:val="none"/>
          <w:u w:val="single"/>
        </w:rPr>
      </w:pPr>
      <w:r>
        <w:rPr>
          <w:rFonts w:hint="eastAsia" w:ascii="宋体" w:hAnsi="宋体" w:cs="宋体"/>
          <w:color w:val="auto"/>
          <w:szCs w:val="21"/>
          <w:highlight w:val="none"/>
        </w:rPr>
        <w:t>关于承包人提交</w:t>
      </w:r>
      <w:r>
        <w:rPr>
          <w:rFonts w:hint="eastAsia" w:ascii="宋体" w:hAnsi="宋体" w:cs="宋体"/>
          <w:color w:val="auto"/>
          <w:kern w:val="0"/>
          <w:szCs w:val="21"/>
          <w:highlight w:val="none"/>
        </w:rPr>
        <w:t>工程开工报审表的期限：</w:t>
      </w:r>
      <w:r>
        <w:rPr>
          <w:rFonts w:hint="eastAsia" w:ascii="宋体" w:hAnsi="宋体" w:cs="宋体"/>
          <w:color w:val="auto"/>
          <w:szCs w:val="21"/>
          <w:highlight w:val="none"/>
        </w:rPr>
        <w:t>。</w:t>
      </w:r>
    </w:p>
    <w:p>
      <w:pPr>
        <w:overflowPunct w:val="0"/>
        <w:autoSpaceDE w:val="0"/>
        <w:autoSpaceDN w:val="0"/>
        <w:snapToGrid w:val="0"/>
        <w:spacing w:line="360" w:lineRule="auto"/>
        <w:ind w:firstLine="645"/>
        <w:jc w:val="left"/>
        <w:rPr>
          <w:rFonts w:ascii="宋体" w:hAnsi="宋体" w:cs="宋体"/>
          <w:color w:val="auto"/>
          <w:szCs w:val="21"/>
          <w:highlight w:val="none"/>
          <w:u w:val="single"/>
        </w:rPr>
      </w:pPr>
      <w:r>
        <w:rPr>
          <w:rFonts w:hint="eastAsia" w:ascii="宋体" w:hAnsi="宋体" w:cs="宋体"/>
          <w:color w:val="auto"/>
          <w:szCs w:val="21"/>
          <w:highlight w:val="none"/>
        </w:rPr>
        <w:t>关于发包人应完成的其他开工准备工作及期限：。</w:t>
      </w:r>
    </w:p>
    <w:p>
      <w:pPr>
        <w:overflowPunct w:val="0"/>
        <w:autoSpaceDE w:val="0"/>
        <w:autoSpaceDN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关于承包人应完成的其他开工准备工作及期限：。</w:t>
      </w:r>
    </w:p>
    <w:p>
      <w:pPr>
        <w:overflowPunct w:val="0"/>
        <w:autoSpaceDE w:val="0"/>
        <w:autoSpaceDN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7.3.2开工通知</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因发包人原因造成监理人未能在计划开工日期之日起天内发出开工通知的，承包人有权提出价格调整要求，或者解除合同。</w:t>
      </w:r>
    </w:p>
    <w:bookmarkEnd w:id="2087"/>
    <w:bookmarkEnd w:id="2088"/>
    <w:bookmarkEnd w:id="2089"/>
    <w:bookmarkEnd w:id="2090"/>
    <w:bookmarkEnd w:id="2091"/>
    <w:bookmarkEnd w:id="2092"/>
    <w:bookmarkEnd w:id="2093"/>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7.4 测量放线</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7.4.1发包人通过监理人向承包人提供测量基准点、基准线和水准点及其书面资料的期限：。</w:t>
      </w:r>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w:t>
      </w:r>
      <w:bookmarkStart w:id="2094" w:name="_Toc297216175"/>
      <w:bookmarkStart w:id="2095" w:name="_Toc297123516"/>
      <w:bookmarkStart w:id="2096" w:name="_Toc312677484"/>
      <w:bookmarkStart w:id="2097" w:name="_Toc312678010"/>
      <w:bookmarkStart w:id="2098" w:name="_Toc300934968"/>
      <w:bookmarkStart w:id="2099" w:name="_Toc303539125"/>
      <w:bookmarkStart w:id="2100" w:name="_Toc304295546"/>
      <w:r>
        <w:rPr>
          <w:rFonts w:hint="eastAsia" w:ascii="宋体" w:hAnsi="宋体" w:cs="宋体"/>
          <w:color w:val="auto"/>
          <w:szCs w:val="21"/>
          <w:highlight w:val="none"/>
        </w:rPr>
        <w:t>.5 工期延误</w:t>
      </w:r>
    </w:p>
    <w:bookmarkEnd w:id="2094"/>
    <w:bookmarkEnd w:id="2095"/>
    <w:bookmarkEnd w:id="2096"/>
    <w:bookmarkEnd w:id="2097"/>
    <w:bookmarkEnd w:id="2098"/>
    <w:bookmarkEnd w:id="2099"/>
    <w:bookmarkEnd w:id="2100"/>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7.5.1 因发包人原因导致工期延误</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（7）因发包人原因导致工期延误的其他情形：。</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w:t>
      </w:r>
      <w:bookmarkStart w:id="2101" w:name="_Toc318581169"/>
      <w:bookmarkStart w:id="2102" w:name="_Toc312678012"/>
      <w:bookmarkStart w:id="2103" w:name="_Toc312677486"/>
      <w:bookmarkStart w:id="2104" w:name="_Toc297216177"/>
      <w:bookmarkStart w:id="2105" w:name="_Toc304295548"/>
      <w:bookmarkStart w:id="2106" w:name="_Toc297123518"/>
      <w:bookmarkStart w:id="2107" w:name="_Toc300934970"/>
      <w:bookmarkStart w:id="2108" w:name="_Toc303539127"/>
      <w:r>
        <w:rPr>
          <w:rFonts w:hint="eastAsia" w:ascii="宋体" w:hAnsi="宋体" w:cs="宋体"/>
          <w:color w:val="auto"/>
          <w:szCs w:val="21"/>
          <w:highlight w:val="none"/>
        </w:rPr>
        <w:t>.5.2 因承包人原因导致工期延误</w:t>
      </w:r>
    </w:p>
    <w:bookmarkEnd w:id="2101"/>
    <w:bookmarkEnd w:id="2102"/>
    <w:bookmarkEnd w:id="2103"/>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因</w:t>
      </w:r>
      <w:bookmarkStart w:id="2109" w:name="_Toc312677487"/>
      <w:bookmarkStart w:id="2110" w:name="_Toc312678013"/>
      <w:bookmarkStart w:id="2111" w:name="_Toc318581170"/>
      <w:r>
        <w:rPr>
          <w:rFonts w:hint="eastAsia" w:ascii="宋体" w:hAnsi="宋体" w:cs="宋体"/>
          <w:color w:val="auto"/>
          <w:szCs w:val="21"/>
          <w:highlight w:val="none"/>
        </w:rPr>
        <w:t>承包人原因造成工期延误，逾期竣工违约金的计算方法为：。</w:t>
      </w:r>
      <w:bookmarkEnd w:id="2104"/>
      <w:bookmarkEnd w:id="2105"/>
      <w:bookmarkEnd w:id="2106"/>
      <w:bookmarkEnd w:id="2107"/>
      <w:bookmarkEnd w:id="2108"/>
      <w:bookmarkEnd w:id="2109"/>
      <w:bookmarkEnd w:id="2110"/>
    </w:p>
    <w:bookmarkEnd w:id="2111"/>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因承包人原因造成工期延误，逾</w:t>
      </w:r>
      <w:bookmarkStart w:id="2112" w:name="_Toc312678014"/>
      <w:bookmarkStart w:id="2113" w:name="_Toc318581171"/>
      <w:r>
        <w:rPr>
          <w:rFonts w:hint="eastAsia" w:ascii="宋体" w:hAnsi="宋体" w:cs="宋体"/>
          <w:color w:val="auto"/>
          <w:szCs w:val="21"/>
          <w:highlight w:val="none"/>
        </w:rPr>
        <w:t>期竣工违约金的上限：。</w:t>
      </w:r>
    </w:p>
    <w:bookmarkEnd w:id="2112"/>
    <w:bookmarkEnd w:id="2113"/>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w:t>
      </w:r>
      <w:bookmarkStart w:id="2114" w:name="_Toc297123519"/>
      <w:bookmarkStart w:id="2115" w:name="_Toc300934971"/>
      <w:bookmarkStart w:id="2116" w:name="_Toc303539128"/>
      <w:bookmarkStart w:id="2117" w:name="_Toc312678015"/>
      <w:bookmarkStart w:id="2118" w:name="_Toc304295549"/>
      <w:bookmarkStart w:id="2119" w:name="_Toc297216178"/>
      <w:r>
        <w:rPr>
          <w:rFonts w:hint="eastAsia" w:ascii="宋体" w:hAnsi="宋体" w:cs="宋体"/>
          <w:color w:val="auto"/>
          <w:szCs w:val="21"/>
          <w:highlight w:val="none"/>
        </w:rPr>
        <w:t>.6 不</w:t>
      </w:r>
      <w:bookmarkEnd w:id="2114"/>
      <w:bookmarkEnd w:id="2115"/>
      <w:bookmarkEnd w:id="2116"/>
      <w:bookmarkEnd w:id="2117"/>
      <w:bookmarkEnd w:id="2118"/>
      <w:bookmarkEnd w:id="2119"/>
      <w:r>
        <w:rPr>
          <w:rFonts w:hint="eastAsia" w:ascii="宋体" w:hAnsi="宋体" w:cs="宋体"/>
          <w:color w:val="auto"/>
          <w:szCs w:val="21"/>
          <w:highlight w:val="none"/>
        </w:rPr>
        <w:t>利物质条件</w:t>
      </w:r>
    </w:p>
    <w:p>
      <w:pPr>
        <w:snapToGrid w:val="0"/>
        <w:spacing w:line="360" w:lineRule="auto"/>
        <w:ind w:firstLine="420" w:firstLineChars="200"/>
        <w:jc w:val="left"/>
        <w:rPr>
          <w:rFonts w:ascii="宋体" w:hAnsi="宋体" w:cs="宋体"/>
          <w:color w:val="auto"/>
          <w:szCs w:val="21"/>
          <w:highlight w:val="none"/>
          <w:u w:val="single"/>
        </w:rPr>
      </w:pPr>
      <w:bookmarkStart w:id="2120" w:name="_Toc304295550"/>
      <w:bookmarkStart w:id="2121" w:name="_Toc303539129"/>
      <w:bookmarkStart w:id="2122" w:name="_Toc318581172"/>
      <w:bookmarkStart w:id="2123" w:name="_Toc300934972"/>
      <w:bookmarkStart w:id="2124" w:name="_Toc297216179"/>
      <w:bookmarkStart w:id="2125" w:name="_Toc312678016"/>
      <w:bookmarkStart w:id="2126" w:name="_Toc297123520"/>
      <w:r>
        <w:rPr>
          <w:rFonts w:hint="eastAsia" w:ascii="宋体" w:hAnsi="宋体" w:cs="宋体"/>
          <w:color w:val="auto"/>
          <w:szCs w:val="21"/>
          <w:highlight w:val="none"/>
        </w:rPr>
        <w:t>不利物质条件的其他情形和有关约定：。</w:t>
      </w:r>
    </w:p>
    <w:bookmarkEnd w:id="2120"/>
    <w:bookmarkEnd w:id="2121"/>
    <w:bookmarkEnd w:id="2122"/>
    <w:bookmarkEnd w:id="2123"/>
    <w:bookmarkEnd w:id="2124"/>
    <w:bookmarkEnd w:id="2125"/>
    <w:bookmarkEnd w:id="2126"/>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w:t>
      </w:r>
      <w:bookmarkStart w:id="2127" w:name="_Toc303539130"/>
      <w:bookmarkStart w:id="2128" w:name="_Toc304295551"/>
      <w:bookmarkStart w:id="2129" w:name="_Toc297123521"/>
      <w:bookmarkStart w:id="2130" w:name="_Toc300934973"/>
      <w:bookmarkStart w:id="2131" w:name="_Toc312678017"/>
      <w:bookmarkStart w:id="2132" w:name="_Toc297216180"/>
      <w:r>
        <w:rPr>
          <w:rFonts w:hint="eastAsia" w:ascii="宋体" w:hAnsi="宋体" w:cs="宋体"/>
          <w:color w:val="auto"/>
          <w:szCs w:val="21"/>
          <w:highlight w:val="none"/>
        </w:rPr>
        <w:t>.7异常恶劣的气候条件</w:t>
      </w:r>
    </w:p>
    <w:bookmarkEnd w:id="2127"/>
    <w:bookmarkEnd w:id="2128"/>
    <w:bookmarkEnd w:id="2129"/>
    <w:bookmarkEnd w:id="2130"/>
    <w:bookmarkEnd w:id="2131"/>
    <w:bookmarkEnd w:id="2132"/>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发包人和承包人同意以下情形视为异常恶劣的气候条件：</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w:t>
      </w:r>
    </w:p>
    <w:p>
      <w:pPr>
        <w:snapToGrid w:val="0"/>
        <w:spacing w:after="120" w:line="360" w:lineRule="auto"/>
        <w:ind w:firstLine="420" w:firstLineChars="200"/>
        <w:jc w:val="left"/>
        <w:rPr>
          <w:rFonts w:ascii="宋体" w:hAnsi="宋体" w:cs="宋体"/>
          <w:color w:val="auto"/>
          <w:szCs w:val="21"/>
          <w:highlight w:val="none"/>
        </w:rPr>
      </w:pPr>
      <w:bookmarkStart w:id="2133" w:name="_Toc10237"/>
      <w:r>
        <w:rPr>
          <w:rFonts w:hint="eastAsia" w:ascii="宋体" w:hAnsi="宋体" w:cs="宋体"/>
          <w:color w:val="auto"/>
          <w:szCs w:val="21"/>
          <w:highlight w:val="none"/>
        </w:rPr>
        <w:t>7.9 提前竣工的奖励</w:t>
      </w:r>
      <w:bookmarkEnd w:id="2133"/>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7.9.2提前竣工的奖励：。</w:t>
      </w:r>
    </w:p>
    <w:p>
      <w:pPr>
        <w:pStyle w:val="5"/>
        <w:snapToGrid w:val="0"/>
        <w:spacing w:before="120" w:after="120" w:line="360" w:lineRule="auto"/>
        <w:jc w:val="left"/>
        <w:rPr>
          <w:rFonts w:ascii="宋体" w:hAnsi="宋体" w:eastAsia="宋体" w:cs="宋体"/>
          <w:color w:val="auto"/>
          <w:sz w:val="24"/>
          <w:szCs w:val="24"/>
          <w:highlight w:val="none"/>
        </w:rPr>
      </w:pPr>
      <w:bookmarkStart w:id="2134" w:name="_Toc351203640"/>
      <w:r>
        <w:rPr>
          <w:rFonts w:hint="eastAsia" w:ascii="宋体" w:hAnsi="宋体" w:eastAsia="宋体" w:cs="宋体"/>
          <w:color w:val="auto"/>
          <w:sz w:val="24"/>
          <w:szCs w:val="24"/>
          <w:highlight w:val="none"/>
        </w:rPr>
        <w:t>8. 材料与设备</w:t>
      </w:r>
      <w:bookmarkEnd w:id="2134"/>
    </w:p>
    <w:bookmarkEnd w:id="2066"/>
    <w:bookmarkEnd w:id="2067"/>
    <w:bookmarkEnd w:id="2068"/>
    <w:bookmarkEnd w:id="2069"/>
    <w:bookmarkEnd w:id="2070"/>
    <w:bookmarkEnd w:id="2071"/>
    <w:bookmarkEnd w:id="2072"/>
    <w:bookmarkEnd w:id="2073"/>
    <w:bookmarkEnd w:id="2074"/>
    <w:bookmarkEnd w:id="2075"/>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w:t>
      </w:r>
      <w:bookmarkStart w:id="2135" w:name="_Toc312677493"/>
      <w:bookmarkStart w:id="2136" w:name="_Toc292559372"/>
      <w:bookmarkStart w:id="2137" w:name="_Toc300934979"/>
      <w:bookmarkStart w:id="2138" w:name="_Toc297123527"/>
      <w:bookmarkStart w:id="2139" w:name="_Toc280868654"/>
      <w:bookmarkStart w:id="2140" w:name="_Toc296503167"/>
      <w:bookmarkStart w:id="2141" w:name="_Toc297120467"/>
      <w:bookmarkStart w:id="2142" w:name="_Toc296890995"/>
      <w:bookmarkStart w:id="2143" w:name="_Toc296347166"/>
      <w:bookmarkStart w:id="2144" w:name="_Toc297216186"/>
      <w:bookmarkStart w:id="2145" w:name="_Toc304295556"/>
      <w:bookmarkStart w:id="2146" w:name="_Toc297048353"/>
      <w:bookmarkStart w:id="2147" w:name="_Toc296944506"/>
      <w:bookmarkStart w:id="2148" w:name="_Toc303539136"/>
      <w:bookmarkStart w:id="2149" w:name="_Toc292559877"/>
      <w:bookmarkStart w:id="2150" w:name="_Toc312678019"/>
      <w:bookmarkStart w:id="2151" w:name="_Toc296346668"/>
      <w:bookmarkStart w:id="2152" w:name="_Toc296891207"/>
      <w:bookmarkStart w:id="2153" w:name="_Toc280868655"/>
      <w:bookmarkStart w:id="2154" w:name="_Toc267251424"/>
      <w:bookmarkStart w:id="2155" w:name="_Toc280868656"/>
      <w:r>
        <w:rPr>
          <w:rFonts w:hint="eastAsia" w:ascii="宋体" w:hAnsi="宋体" w:cs="宋体"/>
          <w:color w:val="auto"/>
          <w:szCs w:val="21"/>
          <w:highlight w:val="none"/>
        </w:rPr>
        <w:t>.4材料与工程设备的保管与使用</w:t>
      </w:r>
    </w:p>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8</w:t>
      </w:r>
      <w:bookmarkStart w:id="2156" w:name="_Toc292559373"/>
      <w:bookmarkStart w:id="2157" w:name="_Toc292559878"/>
      <w:bookmarkStart w:id="2158" w:name="_Toc296890996"/>
      <w:bookmarkStart w:id="2159" w:name="_Toc296503168"/>
      <w:bookmarkStart w:id="2160" w:name="_Toc296346669"/>
      <w:bookmarkStart w:id="2161" w:name="_Toc297123528"/>
      <w:bookmarkStart w:id="2162" w:name="_Toc318581173"/>
      <w:bookmarkStart w:id="2163" w:name="_Toc312678020"/>
      <w:bookmarkStart w:id="2164" w:name="_Toc297120468"/>
      <w:bookmarkStart w:id="2165" w:name="_Toc297048354"/>
      <w:bookmarkStart w:id="2166" w:name="_Toc303539137"/>
      <w:bookmarkStart w:id="2167" w:name="_Toc300934980"/>
      <w:bookmarkStart w:id="2168" w:name="_Toc304295557"/>
      <w:bookmarkStart w:id="2169" w:name="_Toc297216187"/>
      <w:bookmarkStart w:id="2170" w:name="_Toc296891208"/>
      <w:bookmarkStart w:id="2171" w:name="_Toc296944507"/>
      <w:bookmarkStart w:id="2172" w:name="_Toc296347167"/>
      <w:bookmarkStart w:id="2173" w:name="_Toc312677494"/>
      <w:r>
        <w:rPr>
          <w:rFonts w:hint="eastAsia" w:ascii="宋体" w:hAnsi="宋体" w:cs="宋体"/>
          <w:color w:val="auto"/>
          <w:szCs w:val="21"/>
          <w:highlight w:val="none"/>
        </w:rPr>
        <w:t>.4.1发包人供应的材料设备的保管费用的承担：。</w:t>
      </w:r>
      <w:bookmarkEnd w:id="2156"/>
      <w:bookmarkEnd w:id="2157"/>
    </w:p>
    <w:p>
      <w:pPr>
        <w:snapToGrid w:val="0"/>
        <w:spacing w:after="120" w:line="360" w:lineRule="auto"/>
        <w:ind w:firstLine="420" w:firstLineChars="200"/>
        <w:jc w:val="left"/>
        <w:rPr>
          <w:rFonts w:ascii="宋体" w:hAnsi="宋体" w:cs="宋体"/>
          <w:color w:val="auto"/>
          <w:szCs w:val="21"/>
          <w:highlight w:val="none"/>
        </w:rPr>
      </w:pPr>
      <w:bookmarkStart w:id="2174" w:name="_Toc26117"/>
      <w:r>
        <w:rPr>
          <w:rFonts w:hint="eastAsia" w:ascii="宋体" w:hAnsi="宋体" w:cs="宋体"/>
          <w:color w:val="auto"/>
          <w:szCs w:val="21"/>
          <w:highlight w:val="none"/>
        </w:rPr>
        <w:t>8.6 样品</w:t>
      </w:r>
      <w:bookmarkEnd w:id="2174"/>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8.6.1</w:t>
      </w:r>
      <w:r>
        <w:rPr>
          <w:rFonts w:hint="eastAsia" w:ascii="宋体" w:hAnsi="宋体" w:cs="宋体"/>
          <w:color w:val="auto"/>
          <w:kern w:val="0"/>
          <w:szCs w:val="21"/>
          <w:highlight w:val="none"/>
        </w:rPr>
        <w:tab/>
      </w:r>
      <w:r>
        <w:rPr>
          <w:rFonts w:hint="eastAsia" w:ascii="宋体" w:hAnsi="宋体" w:cs="宋体"/>
          <w:color w:val="auto"/>
          <w:kern w:val="0"/>
          <w:szCs w:val="21"/>
          <w:highlight w:val="none"/>
        </w:rPr>
        <w:t>样品的报送与封存</w:t>
      </w:r>
    </w:p>
    <w:p>
      <w:pPr>
        <w:autoSpaceDE w:val="0"/>
        <w:autoSpaceDN w:val="0"/>
        <w:adjustRightInd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需要承包人报送样品的材料或工程设备，样品的种类、名称、规格、数量要求：</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2175" w:name="_Toc1684"/>
      <w:r>
        <w:rPr>
          <w:rFonts w:hint="eastAsia" w:ascii="宋体" w:hAnsi="宋体" w:cs="宋体"/>
          <w:color w:val="auto"/>
          <w:szCs w:val="21"/>
          <w:highlight w:val="none"/>
        </w:rPr>
        <w:t>8.8 施工设备和临时设施</w:t>
      </w:r>
      <w:bookmarkEnd w:id="2175"/>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8.8.1 承包人提供的施工设备和临时设施</w:t>
      </w:r>
    </w:p>
    <w:p>
      <w:pPr>
        <w:autoSpaceDE w:val="0"/>
        <w:autoSpaceDN w:val="0"/>
        <w:adjustRightInd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关于修建临时设施费用承担的约定：。</w:t>
      </w:r>
    </w:p>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p>
      <w:pPr>
        <w:pStyle w:val="5"/>
        <w:snapToGrid w:val="0"/>
        <w:spacing w:before="120" w:after="120" w:line="360" w:lineRule="auto"/>
        <w:jc w:val="left"/>
        <w:rPr>
          <w:rFonts w:ascii="宋体" w:hAnsi="宋体" w:eastAsia="宋体" w:cs="宋体"/>
          <w:color w:val="auto"/>
          <w:sz w:val="24"/>
          <w:szCs w:val="24"/>
          <w:highlight w:val="none"/>
        </w:rPr>
      </w:pPr>
      <w:bookmarkStart w:id="2176" w:name="_Toc351203641"/>
      <w:r>
        <w:rPr>
          <w:rFonts w:hint="eastAsia" w:ascii="宋体" w:hAnsi="宋体" w:eastAsia="宋体" w:cs="宋体"/>
          <w:color w:val="auto"/>
          <w:sz w:val="24"/>
          <w:szCs w:val="24"/>
          <w:highlight w:val="none"/>
        </w:rPr>
        <w:t>9</w:t>
      </w:r>
      <w:bookmarkEnd w:id="2153"/>
      <w:bookmarkEnd w:id="2154"/>
      <w:bookmarkEnd w:id="2155"/>
      <w:bookmarkStart w:id="2177" w:name="_Toc312677495"/>
      <w:bookmarkStart w:id="2178" w:name="_Toc304295559"/>
      <w:bookmarkStart w:id="2179" w:name="_Toc312678021"/>
      <w:bookmarkStart w:id="2180" w:name="_Toc297216192"/>
      <w:bookmarkStart w:id="2181" w:name="_Toc297123533"/>
      <w:bookmarkStart w:id="2182" w:name="_Toc303539139"/>
      <w:bookmarkStart w:id="2183" w:name="_Toc300934982"/>
      <w:bookmarkStart w:id="2184" w:name="_Toc297048359"/>
      <w:bookmarkStart w:id="2185" w:name="_Toc292559378"/>
      <w:bookmarkStart w:id="2186" w:name="_Toc296347172"/>
      <w:bookmarkStart w:id="2187" w:name="_Toc267251428"/>
      <w:bookmarkStart w:id="2188" w:name="_Toc292559883"/>
      <w:bookmarkStart w:id="2189" w:name="_Toc267251427"/>
      <w:bookmarkStart w:id="2190" w:name="_Toc297120473"/>
      <w:bookmarkStart w:id="2191" w:name="_Toc296503173"/>
      <w:bookmarkStart w:id="2192" w:name="_Toc296944512"/>
      <w:bookmarkStart w:id="2193" w:name="_Toc296346674"/>
      <w:bookmarkStart w:id="2194" w:name="_Toc296891001"/>
      <w:bookmarkStart w:id="2195" w:name="_Toc296891213"/>
      <w:r>
        <w:rPr>
          <w:rFonts w:hint="eastAsia" w:ascii="宋体" w:hAnsi="宋体" w:eastAsia="宋体" w:cs="宋体"/>
          <w:color w:val="auto"/>
          <w:sz w:val="24"/>
          <w:szCs w:val="24"/>
          <w:highlight w:val="none"/>
        </w:rPr>
        <w:t>. 试验与检验</w:t>
      </w:r>
      <w:bookmarkEnd w:id="2176"/>
    </w:p>
    <w:bookmarkEnd w:id="2177"/>
    <w:bookmarkEnd w:id="2178"/>
    <w:bookmarkEnd w:id="2179"/>
    <w:bookmarkEnd w:id="2180"/>
    <w:bookmarkEnd w:id="2181"/>
    <w:bookmarkEnd w:id="2182"/>
    <w:bookmarkEnd w:id="2183"/>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9</w:t>
      </w:r>
      <w:bookmarkStart w:id="2196" w:name="_Toc303539140"/>
      <w:bookmarkStart w:id="2197" w:name="_Toc297123534"/>
      <w:bookmarkStart w:id="2198" w:name="_Toc297216193"/>
      <w:bookmarkStart w:id="2199" w:name="_Toc312678022"/>
      <w:bookmarkStart w:id="2200" w:name="_Toc304295560"/>
      <w:bookmarkStart w:id="2201" w:name="_Toc312677496"/>
      <w:bookmarkStart w:id="2202" w:name="_Toc300934983"/>
      <w:r>
        <w:rPr>
          <w:rFonts w:hint="eastAsia" w:ascii="宋体" w:hAnsi="宋体" w:cs="宋体"/>
          <w:color w:val="auto"/>
          <w:szCs w:val="21"/>
          <w:highlight w:val="none"/>
        </w:rPr>
        <w:t>.1试验设备与试验人员</w:t>
      </w:r>
    </w:p>
    <w:bookmarkEnd w:id="2196"/>
    <w:bookmarkEnd w:id="2197"/>
    <w:bookmarkEnd w:id="2198"/>
    <w:bookmarkEnd w:id="2199"/>
    <w:bookmarkEnd w:id="2200"/>
    <w:bookmarkEnd w:id="2201"/>
    <w:bookmarkEnd w:id="2202"/>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9</w:t>
      </w:r>
      <w:bookmarkStart w:id="2203" w:name="_Toc297123535"/>
      <w:bookmarkStart w:id="2204" w:name="_Toc300934984"/>
      <w:bookmarkStart w:id="2205" w:name="_Toc312678023"/>
      <w:bookmarkStart w:id="2206" w:name="_Toc312677497"/>
      <w:bookmarkStart w:id="2207" w:name="_Toc303539141"/>
      <w:bookmarkStart w:id="2208" w:name="_Toc304295561"/>
      <w:bookmarkStart w:id="2209" w:name="_Toc297216194"/>
      <w:bookmarkStart w:id="2210" w:name="_Toc318581174"/>
      <w:r>
        <w:rPr>
          <w:rFonts w:hint="eastAsia" w:ascii="宋体" w:hAnsi="宋体" w:cs="宋体"/>
          <w:color w:val="auto"/>
          <w:szCs w:val="21"/>
          <w:highlight w:val="none"/>
        </w:rPr>
        <w:t>.1.2 试验设备</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施工现场需要配置的试验场所：</w:t>
      </w:r>
      <w:bookmarkEnd w:id="2203"/>
      <w:bookmarkEnd w:id="2204"/>
      <w:bookmarkEnd w:id="2205"/>
      <w:bookmarkEnd w:id="2206"/>
      <w:bookmarkEnd w:id="2207"/>
      <w:bookmarkEnd w:id="2208"/>
      <w:bookmarkEnd w:id="2209"/>
      <w:bookmarkStart w:id="2211" w:name="_Toc297123536"/>
      <w:bookmarkStart w:id="2212" w:name="_Toc300934985"/>
      <w:bookmarkStart w:id="2213" w:name="_Toc312678024"/>
      <w:bookmarkStart w:id="2214" w:name="_Toc303539142"/>
      <w:bookmarkStart w:id="2215" w:name="_Toc297216195"/>
      <w:bookmarkStart w:id="2216" w:name="_Toc312677498"/>
      <w:bookmarkStart w:id="2217" w:name="_Toc304295562"/>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 </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施工现场需要配备的试验设备：</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施工现场需要具备的其他试验条件：</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2218" w:name="_Toc28899"/>
      <w:r>
        <w:rPr>
          <w:rFonts w:hint="eastAsia" w:ascii="宋体" w:hAnsi="宋体" w:cs="宋体"/>
          <w:color w:val="auto"/>
          <w:szCs w:val="21"/>
          <w:highlight w:val="none"/>
        </w:rPr>
        <w:t>9.4 现场工艺试验</w:t>
      </w:r>
      <w:bookmarkEnd w:id="2218"/>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现场工艺试验的有关约定：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bookmarkEnd w:id="2210"/>
    <w:bookmarkEnd w:id="2211"/>
    <w:bookmarkEnd w:id="2212"/>
    <w:bookmarkEnd w:id="2213"/>
    <w:bookmarkEnd w:id="2214"/>
    <w:bookmarkEnd w:id="2215"/>
    <w:bookmarkEnd w:id="2216"/>
    <w:bookmarkEnd w:id="2217"/>
    <w:p>
      <w:pPr>
        <w:pStyle w:val="5"/>
        <w:snapToGrid w:val="0"/>
        <w:spacing w:before="120" w:after="120" w:line="360" w:lineRule="auto"/>
        <w:jc w:val="left"/>
        <w:rPr>
          <w:rFonts w:ascii="宋体" w:hAnsi="宋体" w:eastAsia="宋体" w:cs="宋体"/>
          <w:color w:val="auto"/>
          <w:sz w:val="24"/>
          <w:szCs w:val="24"/>
          <w:highlight w:val="none"/>
        </w:rPr>
      </w:pPr>
      <w:bookmarkStart w:id="2219" w:name="_Toc351203642"/>
      <w:r>
        <w:rPr>
          <w:rFonts w:hint="eastAsia" w:ascii="宋体" w:hAnsi="宋体" w:eastAsia="宋体" w:cs="宋体"/>
          <w:color w:val="auto"/>
          <w:sz w:val="24"/>
          <w:szCs w:val="24"/>
          <w:highlight w:val="none"/>
        </w:rPr>
        <w:t>1</w:t>
      </w:r>
      <w:bookmarkEnd w:id="2184"/>
      <w:bookmarkEnd w:id="2185"/>
      <w:bookmarkEnd w:id="2186"/>
      <w:bookmarkEnd w:id="2187"/>
      <w:bookmarkEnd w:id="2188"/>
      <w:bookmarkEnd w:id="2189"/>
      <w:bookmarkEnd w:id="2190"/>
      <w:bookmarkEnd w:id="2191"/>
      <w:bookmarkEnd w:id="2192"/>
      <w:bookmarkEnd w:id="2193"/>
      <w:bookmarkEnd w:id="2194"/>
      <w:bookmarkEnd w:id="2195"/>
      <w:bookmarkStart w:id="2220" w:name="_Toc297123540"/>
      <w:bookmarkStart w:id="2221" w:name="_Toc296944532"/>
      <w:bookmarkStart w:id="2222" w:name="_Toc304295566"/>
      <w:bookmarkStart w:id="2223" w:name="_Toc297216199"/>
      <w:bookmarkStart w:id="2224" w:name="_Toc300934989"/>
      <w:bookmarkStart w:id="2225" w:name="_Toc292559398"/>
      <w:bookmarkStart w:id="2226" w:name="_Toc297048379"/>
      <w:bookmarkStart w:id="2227" w:name="_Toc296891021"/>
      <w:bookmarkStart w:id="2228" w:name="_Toc292559903"/>
      <w:bookmarkStart w:id="2229" w:name="_Toc296503193"/>
      <w:bookmarkStart w:id="2230" w:name="_Toc296347192"/>
      <w:bookmarkStart w:id="2231" w:name="_Toc296891233"/>
      <w:bookmarkStart w:id="2232" w:name="_Toc297120493"/>
      <w:bookmarkStart w:id="2233" w:name="_Toc296346694"/>
      <w:bookmarkStart w:id="2234" w:name="_Toc303539146"/>
      <w:bookmarkStart w:id="2235" w:name="_Toc312678025"/>
      <w:bookmarkStart w:id="2236" w:name="_Toc312677499"/>
      <w:bookmarkStart w:id="2237" w:name="_Toc267251433"/>
      <w:bookmarkStart w:id="2238" w:name="_Toc267251437"/>
      <w:bookmarkStart w:id="2239" w:name="_Toc267251435"/>
      <w:bookmarkStart w:id="2240" w:name="_Toc267251441"/>
      <w:bookmarkStart w:id="2241" w:name="_Toc267251440"/>
      <w:bookmarkStart w:id="2242" w:name="_Toc267251439"/>
      <w:bookmarkStart w:id="2243" w:name="_Toc267251442"/>
      <w:r>
        <w:rPr>
          <w:rFonts w:hint="eastAsia" w:ascii="宋体" w:hAnsi="宋体" w:eastAsia="宋体" w:cs="宋体"/>
          <w:color w:val="auto"/>
          <w:sz w:val="24"/>
          <w:szCs w:val="24"/>
          <w:highlight w:val="none"/>
        </w:rPr>
        <w:t>0. 变更</w:t>
      </w:r>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p>
    <w:bookmarkEnd w:id="2235"/>
    <w:bookmarkEnd w:id="2236"/>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bookmarkStart w:id="2244" w:name="_Toc297120494"/>
      <w:bookmarkStart w:id="2245" w:name="_Toc296891022"/>
      <w:bookmarkStart w:id="2246" w:name="_Toc296347193"/>
      <w:bookmarkStart w:id="2247" w:name="_Toc297048380"/>
      <w:bookmarkStart w:id="2248" w:name="_Toc312678026"/>
      <w:bookmarkStart w:id="2249" w:name="_Toc296891234"/>
      <w:bookmarkStart w:id="2250" w:name="_Toc296346695"/>
      <w:bookmarkStart w:id="2251" w:name="_Toc296944533"/>
      <w:bookmarkStart w:id="2252" w:name="_Toc300934990"/>
      <w:bookmarkStart w:id="2253" w:name="_Toc296503194"/>
      <w:bookmarkStart w:id="2254" w:name="_Toc297216200"/>
      <w:bookmarkStart w:id="2255" w:name="_Toc304295567"/>
      <w:bookmarkStart w:id="2256" w:name="_Toc312677500"/>
      <w:bookmarkStart w:id="2257" w:name="_Toc297123541"/>
      <w:bookmarkStart w:id="2258" w:name="_Toc292559904"/>
      <w:bookmarkStart w:id="2259" w:name="_Toc292559399"/>
      <w:bookmarkStart w:id="2260" w:name="_Toc303539147"/>
      <w:r>
        <w:rPr>
          <w:rFonts w:hint="eastAsia" w:ascii="宋体" w:hAnsi="宋体" w:cs="宋体"/>
          <w:color w:val="auto"/>
          <w:szCs w:val="21"/>
          <w:highlight w:val="none"/>
        </w:rPr>
        <w:t>0.1变更的范围</w:t>
      </w:r>
    </w:p>
    <w:p>
      <w:pPr>
        <w:snapToGrid w:val="0"/>
        <w:spacing w:line="360" w:lineRule="auto"/>
        <w:ind w:firstLine="600"/>
        <w:jc w:val="left"/>
        <w:rPr>
          <w:rFonts w:ascii="宋体" w:hAnsi="宋体" w:cs="宋体"/>
          <w:color w:val="auto"/>
          <w:szCs w:val="21"/>
          <w:highlight w:val="none"/>
        </w:rPr>
      </w:pPr>
      <w:r>
        <w:rPr>
          <w:rFonts w:hint="eastAsia" w:ascii="宋体" w:hAnsi="宋体" w:cs="宋体"/>
          <w:color w:val="auto"/>
          <w:szCs w:val="21"/>
          <w:highlight w:val="none"/>
        </w:rPr>
        <w:t>关于变更的范围的约定：</w:t>
      </w:r>
    </w:p>
    <w:p>
      <w:pPr>
        <w:snapToGrid w:val="0"/>
        <w:spacing w:line="360" w:lineRule="auto"/>
        <w:ind w:firstLine="600"/>
        <w:jc w:val="left"/>
        <w:rPr>
          <w:rFonts w:ascii="宋体" w:hAnsi="宋体" w:cs="宋体"/>
          <w:color w:val="auto"/>
          <w:szCs w:val="21"/>
          <w:highlight w:val="none"/>
          <w:u w:val="single"/>
        </w:rPr>
      </w:pPr>
      <w:r>
        <w:rPr>
          <w:rFonts w:hint="eastAsia" w:ascii="宋体" w:hAnsi="宋体" w:cs="宋体"/>
          <w:color w:val="auto"/>
          <w:szCs w:val="21"/>
          <w:highlight w:val="none"/>
          <w:u w:val="single"/>
        </w:rPr>
        <w:t>按照《广东省农业农村厅关于规范农田建设项目调整和终止有关事项的通知》（粤农农函〔2020〕79号）、《广州市高标准农田建设项目调整规程》执行</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2261" w:name="_Toc31278"/>
      <w:r>
        <w:rPr>
          <w:rFonts w:hint="eastAsia" w:ascii="宋体" w:hAnsi="宋体" w:cs="宋体"/>
          <w:color w:val="auto"/>
          <w:szCs w:val="21"/>
          <w:highlight w:val="none"/>
        </w:rPr>
        <w:t>10.4 变更估价</w:t>
      </w:r>
      <w:bookmarkEnd w:id="2261"/>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10.4.1 变更估价原则</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 xml:space="preserve">关于变更估价的约定: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Start w:id="2262" w:name="_Toc296891237"/>
      <w:bookmarkStart w:id="2263" w:name="_Toc292559907"/>
      <w:bookmarkStart w:id="2264" w:name="_Toc297216203"/>
      <w:bookmarkStart w:id="2265" w:name="_Toc297123544"/>
      <w:bookmarkStart w:id="2266" w:name="_Toc303539150"/>
      <w:bookmarkStart w:id="2267" w:name="_Toc297120497"/>
      <w:bookmarkStart w:id="2268" w:name="_Toc300934993"/>
      <w:bookmarkStart w:id="2269" w:name="_Toc296347196"/>
      <w:bookmarkStart w:id="2270" w:name="_Toc297048383"/>
      <w:bookmarkStart w:id="2271" w:name="_Toc292559402"/>
      <w:bookmarkStart w:id="2272" w:name="_Toc296346698"/>
      <w:bookmarkStart w:id="2273" w:name="_Toc296891025"/>
      <w:bookmarkStart w:id="2274" w:name="_Toc296503197"/>
      <w:bookmarkStart w:id="2275" w:name="_Toc296944536"/>
      <w:bookmarkStart w:id="2276" w:name="_Toc312678029"/>
      <w:bookmarkStart w:id="2277" w:name="_Toc304295570"/>
      <w:bookmarkStart w:id="2278" w:name="_Toc312677503"/>
      <w:r>
        <w:rPr>
          <w:rFonts w:hint="eastAsia" w:ascii="宋体" w:hAnsi="宋体" w:cs="宋体"/>
          <w:color w:val="auto"/>
          <w:szCs w:val="21"/>
          <w:highlight w:val="none"/>
        </w:rPr>
        <w:t>0.5承</w:t>
      </w:r>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Start w:id="2279" w:name="_Toc296891031"/>
      <w:bookmarkStart w:id="2280" w:name="_Toc292559408"/>
      <w:bookmarkStart w:id="2281" w:name="_Toc297048389"/>
      <w:bookmarkStart w:id="2282" w:name="_Toc296944542"/>
      <w:bookmarkStart w:id="2283" w:name="_Toc296503203"/>
      <w:bookmarkStart w:id="2284" w:name="_Toc300934994"/>
      <w:bookmarkStart w:id="2285" w:name="_Toc297123545"/>
      <w:bookmarkStart w:id="2286" w:name="_Toc303539151"/>
      <w:bookmarkStart w:id="2287" w:name="_Toc297120503"/>
      <w:bookmarkStart w:id="2288" w:name="_Toc297216204"/>
      <w:bookmarkStart w:id="2289" w:name="_Toc296347202"/>
      <w:bookmarkStart w:id="2290" w:name="_Toc292559913"/>
      <w:bookmarkStart w:id="2291" w:name="_Toc296891243"/>
      <w:bookmarkStart w:id="2292" w:name="_Toc296346704"/>
      <w:r>
        <w:rPr>
          <w:rFonts w:hint="eastAsia" w:ascii="宋体" w:hAnsi="宋体" w:cs="宋体"/>
          <w:color w:val="auto"/>
          <w:szCs w:val="21"/>
          <w:highlight w:val="none"/>
        </w:rPr>
        <w:t>包人的合理化建议</w:t>
      </w:r>
    </w:p>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监理人审查承包人合理化建议的期限：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发包人审批承包人合理化建议的期限：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承</w:t>
      </w:r>
      <w:bookmarkStart w:id="2293" w:name="_Toc297216205"/>
      <w:bookmarkStart w:id="2294" w:name="_Toc297048390"/>
      <w:bookmarkStart w:id="2295" w:name="_Toc300934995"/>
      <w:bookmarkStart w:id="2296" w:name="_Toc296347203"/>
      <w:bookmarkStart w:id="2297" w:name="_Toc292559409"/>
      <w:bookmarkStart w:id="2298" w:name="_Toc303539152"/>
      <w:bookmarkStart w:id="2299" w:name="_Toc296891244"/>
      <w:bookmarkStart w:id="2300" w:name="_Toc296944543"/>
      <w:bookmarkStart w:id="2301" w:name="_Toc292559914"/>
      <w:bookmarkStart w:id="2302" w:name="_Toc296346705"/>
      <w:bookmarkStart w:id="2303" w:name="_Toc304295571"/>
      <w:bookmarkStart w:id="2304" w:name="_Toc318581175"/>
      <w:bookmarkStart w:id="2305" w:name="_Toc312678030"/>
      <w:bookmarkStart w:id="2306" w:name="_Toc296503204"/>
      <w:bookmarkStart w:id="2307" w:name="_Toc312677504"/>
      <w:bookmarkStart w:id="2308" w:name="_Toc296891032"/>
      <w:bookmarkStart w:id="2309" w:name="_Toc297120504"/>
      <w:bookmarkStart w:id="2310" w:name="_Toc297123546"/>
      <w:r>
        <w:rPr>
          <w:rFonts w:hint="eastAsia" w:ascii="宋体" w:hAnsi="宋体" w:cs="宋体"/>
          <w:color w:val="auto"/>
          <w:szCs w:val="21"/>
          <w:highlight w:val="none"/>
        </w:rPr>
        <w:t>包人提出的合理化建议降低了合同价格或者提高了工程经济效益的奖励的方法和金额为：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p>
      <w:pPr>
        <w:snapToGrid w:val="0"/>
        <w:spacing w:after="120" w:line="360" w:lineRule="auto"/>
        <w:ind w:firstLine="420" w:firstLineChars="200"/>
        <w:jc w:val="left"/>
        <w:rPr>
          <w:rFonts w:ascii="宋体" w:hAnsi="宋体" w:cs="宋体"/>
          <w:color w:val="auto"/>
          <w:szCs w:val="21"/>
          <w:highlight w:val="none"/>
        </w:rPr>
      </w:pPr>
      <w:bookmarkStart w:id="2311" w:name="_Toc16661"/>
      <w:r>
        <w:rPr>
          <w:rFonts w:hint="eastAsia" w:ascii="宋体" w:hAnsi="宋体" w:cs="宋体"/>
          <w:color w:val="auto"/>
          <w:szCs w:val="21"/>
          <w:highlight w:val="none"/>
        </w:rPr>
        <w:t>1</w:t>
      </w:r>
      <w:bookmarkStart w:id="2312" w:name="_Toc296891027"/>
      <w:bookmarkStart w:id="2313" w:name="_Toc304295574"/>
      <w:bookmarkStart w:id="2314" w:name="_Toc297048385"/>
      <w:bookmarkStart w:id="2315" w:name="_Toc303539154"/>
      <w:bookmarkStart w:id="2316" w:name="_Toc292559909"/>
      <w:bookmarkStart w:id="2317" w:name="_Toc292559404"/>
      <w:bookmarkStart w:id="2318" w:name="_Toc312677507"/>
      <w:bookmarkStart w:id="2319" w:name="_Toc296891239"/>
      <w:bookmarkStart w:id="2320" w:name="_Toc297123548"/>
      <w:bookmarkStart w:id="2321" w:name="_Toc312678033"/>
      <w:bookmarkStart w:id="2322" w:name="_Toc300934997"/>
      <w:bookmarkStart w:id="2323" w:name="_Toc296347198"/>
      <w:bookmarkStart w:id="2324" w:name="_Toc296346700"/>
      <w:bookmarkStart w:id="2325" w:name="_Toc296944538"/>
      <w:bookmarkStart w:id="2326" w:name="_Toc296503199"/>
      <w:bookmarkStart w:id="2327" w:name="_Toc297216207"/>
      <w:bookmarkStart w:id="2328" w:name="_Toc297120499"/>
      <w:r>
        <w:rPr>
          <w:rFonts w:hint="eastAsia" w:ascii="宋体" w:hAnsi="宋体" w:cs="宋体"/>
          <w:color w:val="auto"/>
          <w:szCs w:val="21"/>
          <w:highlight w:val="none"/>
        </w:rPr>
        <w:t>0.7 暂估价</w:t>
      </w:r>
      <w:bookmarkEnd w:id="2311"/>
    </w:p>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暂</w:t>
      </w:r>
      <w:bookmarkStart w:id="2329" w:name="_Toc312677508"/>
      <w:bookmarkStart w:id="2330" w:name="_Toc312678034"/>
      <w:bookmarkStart w:id="2331" w:name="_Toc318581176"/>
      <w:r>
        <w:rPr>
          <w:rFonts w:hint="eastAsia" w:ascii="宋体" w:hAnsi="宋体" w:cs="宋体"/>
          <w:color w:val="auto"/>
          <w:kern w:val="0"/>
          <w:szCs w:val="21"/>
          <w:highlight w:val="none"/>
        </w:rPr>
        <w:t>估价材料和工程设备的明细详见附件11：《</w:t>
      </w:r>
      <w:r>
        <w:rPr>
          <w:rFonts w:hint="eastAsia" w:ascii="宋体" w:hAnsi="宋体" w:cs="宋体"/>
          <w:color w:val="auto"/>
          <w:szCs w:val="21"/>
          <w:highlight w:val="none"/>
        </w:rPr>
        <w:t>暂估价一览表》</w:t>
      </w:r>
      <w:r>
        <w:rPr>
          <w:rFonts w:hint="eastAsia" w:ascii="宋体" w:hAnsi="宋体" w:cs="宋体"/>
          <w:color w:val="auto"/>
          <w:kern w:val="0"/>
          <w:szCs w:val="21"/>
          <w:highlight w:val="none"/>
        </w:rPr>
        <w:t>。</w:t>
      </w:r>
    </w:p>
    <w:bookmarkEnd w:id="2329"/>
    <w:bookmarkEnd w:id="2330"/>
    <w:bookmarkEnd w:id="2331"/>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bookmarkStart w:id="2332" w:name="_Toc318581177"/>
      <w:bookmarkStart w:id="2333" w:name="_Toc312677509"/>
      <w:bookmarkStart w:id="2334" w:name="_Toc312678035"/>
      <w:r>
        <w:rPr>
          <w:rFonts w:hint="eastAsia" w:ascii="宋体" w:hAnsi="宋体" w:cs="宋体"/>
          <w:color w:val="auto"/>
          <w:szCs w:val="21"/>
          <w:highlight w:val="none"/>
        </w:rPr>
        <w:t>0.7.1 依法必须招标的暂估价项目</w:t>
      </w:r>
    </w:p>
    <w:bookmarkEnd w:id="2332"/>
    <w:bookmarkEnd w:id="2333"/>
    <w:bookmarkEnd w:id="2334"/>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对于依法必须招标的暂估价项目的确认和批准采取第种方式确定。</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10.7.2 不属于依法必须招标的暂估价项目</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对于不属于依法必须招标的暂估价项目的确认和批准采取第 种方式确定。</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第3种方式：</w:t>
      </w:r>
      <w:r>
        <w:rPr>
          <w:rFonts w:hint="eastAsia" w:ascii="宋体" w:hAnsi="宋体" w:cs="宋体"/>
          <w:color w:val="auto"/>
          <w:kern w:val="0"/>
          <w:szCs w:val="21"/>
          <w:highlight w:val="none"/>
        </w:rPr>
        <w:t>承包人直接实施的暂估价项目</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承包人直接实施的暂估价项目的约定：。</w:t>
      </w:r>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10.8 暂列金额</w:t>
      </w:r>
    </w:p>
    <w:p>
      <w:pPr>
        <w:autoSpaceDE w:val="0"/>
        <w:autoSpaceDN w:val="0"/>
        <w:adjustRightInd w:val="0"/>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合同当事人关于暂列金额使用的约定：。</w:t>
      </w:r>
    </w:p>
    <w:p>
      <w:pPr>
        <w:pStyle w:val="5"/>
        <w:snapToGrid w:val="0"/>
        <w:spacing w:before="120" w:after="120" w:line="360" w:lineRule="auto"/>
        <w:jc w:val="left"/>
        <w:rPr>
          <w:rFonts w:ascii="宋体" w:hAnsi="宋体" w:eastAsia="宋体" w:cs="宋体"/>
          <w:color w:val="auto"/>
          <w:sz w:val="24"/>
          <w:szCs w:val="24"/>
          <w:highlight w:val="none"/>
        </w:rPr>
      </w:pPr>
      <w:bookmarkStart w:id="2335" w:name="_Toc351203643"/>
      <w:r>
        <w:rPr>
          <w:rFonts w:hint="eastAsia" w:ascii="宋体" w:hAnsi="宋体" w:eastAsia="宋体" w:cs="宋体"/>
          <w:color w:val="auto"/>
          <w:sz w:val="24"/>
          <w:szCs w:val="24"/>
          <w:highlight w:val="none"/>
        </w:rPr>
        <w:t>11. 价格调整</w:t>
      </w:r>
      <w:bookmarkEnd w:id="2335"/>
    </w:p>
    <w:p>
      <w:pPr>
        <w:snapToGrid w:val="0"/>
        <w:spacing w:after="120" w:line="360" w:lineRule="auto"/>
        <w:ind w:firstLine="420" w:firstLineChars="200"/>
        <w:jc w:val="left"/>
        <w:rPr>
          <w:rFonts w:ascii="宋体" w:hAnsi="宋体" w:cs="宋体"/>
          <w:color w:val="auto"/>
          <w:szCs w:val="21"/>
          <w:highlight w:val="none"/>
        </w:rPr>
      </w:pPr>
      <w:bookmarkStart w:id="2336" w:name="_Toc296891029"/>
      <w:bookmarkStart w:id="2337" w:name="_Toc296347200"/>
      <w:bookmarkStart w:id="2338" w:name="_Toc296346702"/>
      <w:bookmarkStart w:id="2339" w:name="_Toc292559911"/>
      <w:bookmarkStart w:id="2340" w:name="_Toc296891241"/>
      <w:bookmarkStart w:id="2341" w:name="_Toc297048387"/>
      <w:bookmarkStart w:id="2342" w:name="_Toc303539157"/>
      <w:bookmarkStart w:id="2343" w:name="_Toc296944540"/>
      <w:bookmarkStart w:id="2344" w:name="_Toc296503201"/>
      <w:bookmarkStart w:id="2345" w:name="_Toc297120501"/>
      <w:bookmarkStart w:id="2346" w:name="_Toc297123550"/>
      <w:bookmarkStart w:id="2347" w:name="_Toc304295577"/>
      <w:bookmarkStart w:id="2348" w:name="_Toc312678039"/>
      <w:bookmarkStart w:id="2349" w:name="_Toc300935000"/>
      <w:bookmarkStart w:id="2350" w:name="_Toc297216209"/>
      <w:bookmarkStart w:id="2351" w:name="_Toc292559406"/>
      <w:r>
        <w:rPr>
          <w:rFonts w:hint="eastAsia" w:ascii="宋体" w:hAnsi="宋体" w:cs="宋体"/>
          <w:color w:val="auto"/>
          <w:szCs w:val="21"/>
          <w:highlight w:val="none"/>
        </w:rPr>
        <w:t>11.1 市场价格波动引起的调整</w:t>
      </w:r>
    </w:p>
    <w:bookmarkEnd w:id="2336"/>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市场价格波动是否调整合同价格的约定：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因市场价格波动调整合同价格，采用以下第</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种方式对合同价格进行调整：</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第1种方式：采用价格指数进行价格调整。</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 xml:space="preserve">关于各可调因子、定值和变值权重，以及基本价格指数及其来源的约定：；  </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第2种方式：采用造价信息进行价格调整。</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（2）关于基准价格的约定：</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专用合同条款①承包人在已标价工程量清单或预算书中载明的材料单价低于基准价格的：专用合同条款合同履行期间材料单价涨幅以基准价格为基础超过%时，或材料单价跌幅以已标价工程量清单或预算书中载明材料单价为基础超过%时，其超过部分据实调整。</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承包人在已标价工程量清单或预算书中载明的材料单价高于基准价格的：专用合同条款合同履行期间材料单价跌幅以基准价格为基础超过%时，材料单价涨幅以已标价工程量清单或预算书中载明材料单价为基础超过%时，其超过部分据实调整。</w:t>
      </w:r>
    </w:p>
    <w:p>
      <w:pPr>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③承包人在已标价工程量清单或预算书中载明的材料单价等于基准单价的：专用合同条款合同履行期间材料单价涨跌幅以基准单价为基础超过±%时，其超过部分据实调整。</w:t>
      </w:r>
    </w:p>
    <w:p>
      <w:pPr>
        <w:snapToGrid w:val="0"/>
        <w:spacing w:line="360" w:lineRule="auto"/>
        <w:ind w:firstLine="645"/>
        <w:jc w:val="left"/>
        <w:rPr>
          <w:rFonts w:ascii="宋体" w:hAnsi="宋体" w:cs="宋体"/>
          <w:color w:val="auto"/>
          <w:szCs w:val="21"/>
          <w:highlight w:val="none"/>
          <w:u w:val="single"/>
        </w:rPr>
      </w:pPr>
      <w:r>
        <w:rPr>
          <w:rFonts w:hint="eastAsia" w:ascii="宋体" w:hAnsi="宋体" w:cs="宋体"/>
          <w:color w:val="auto"/>
          <w:szCs w:val="21"/>
          <w:highlight w:val="none"/>
        </w:rPr>
        <w:t>第3种方式：其他价格调整方式：</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bookmarkEnd w:id="2237"/>
    <w:bookmarkEnd w:id="2238"/>
    <w:bookmarkEnd w:id="2239"/>
    <w:bookmarkEnd w:id="2240"/>
    <w:bookmarkEnd w:id="2241"/>
    <w:bookmarkEnd w:id="2242"/>
    <w:p>
      <w:pPr>
        <w:pStyle w:val="5"/>
        <w:snapToGrid w:val="0"/>
        <w:spacing w:before="120" w:after="120" w:line="360" w:lineRule="auto"/>
        <w:jc w:val="left"/>
        <w:rPr>
          <w:rFonts w:ascii="宋体" w:hAnsi="宋体" w:eastAsia="宋体" w:cs="宋体"/>
          <w:color w:val="auto"/>
          <w:sz w:val="24"/>
          <w:szCs w:val="24"/>
          <w:highlight w:val="none"/>
        </w:rPr>
      </w:pPr>
      <w:bookmarkStart w:id="2352" w:name="_Toc292559915"/>
      <w:bookmarkStart w:id="2353" w:name="_Toc296891033"/>
      <w:bookmarkStart w:id="2354" w:name="_Toc297048391"/>
      <w:bookmarkStart w:id="2355" w:name="_Toc296503205"/>
      <w:bookmarkStart w:id="2356" w:name="_Toc296346706"/>
      <w:bookmarkStart w:id="2357" w:name="_Toc296891245"/>
      <w:bookmarkStart w:id="2358" w:name="_Toc297120505"/>
      <w:bookmarkStart w:id="2359" w:name="_Toc296944544"/>
      <w:bookmarkStart w:id="2360" w:name="_Toc292559410"/>
      <w:bookmarkStart w:id="2361" w:name="_Toc296347204"/>
      <w:bookmarkStart w:id="2362" w:name="_Toc351203644"/>
      <w:bookmarkStart w:id="2363" w:name="_Toc303539159"/>
      <w:bookmarkStart w:id="2364" w:name="_Toc304295579"/>
      <w:bookmarkStart w:id="2365" w:name="_Toc300935002"/>
      <w:bookmarkStart w:id="2366" w:name="_Toc297216211"/>
      <w:bookmarkStart w:id="2367" w:name="_Toc312678040"/>
      <w:bookmarkStart w:id="2368" w:name="_Toc297123552"/>
      <w:r>
        <w:rPr>
          <w:rFonts w:hint="eastAsia" w:ascii="宋体" w:hAnsi="宋体" w:eastAsia="宋体" w:cs="宋体"/>
          <w:color w:val="auto"/>
          <w:sz w:val="24"/>
          <w:szCs w:val="24"/>
          <w:highlight w:val="none"/>
        </w:rPr>
        <w:t xml:space="preserve">12. </w:t>
      </w:r>
      <w:bookmarkEnd w:id="2352"/>
      <w:bookmarkEnd w:id="2353"/>
      <w:bookmarkEnd w:id="2354"/>
      <w:bookmarkEnd w:id="2355"/>
      <w:bookmarkEnd w:id="2356"/>
      <w:bookmarkEnd w:id="2357"/>
      <w:bookmarkEnd w:id="2358"/>
      <w:bookmarkEnd w:id="2359"/>
      <w:bookmarkEnd w:id="2360"/>
      <w:bookmarkEnd w:id="2361"/>
      <w:r>
        <w:rPr>
          <w:rFonts w:hint="eastAsia" w:ascii="宋体" w:hAnsi="宋体" w:eastAsia="宋体" w:cs="宋体"/>
          <w:color w:val="auto"/>
          <w:sz w:val="24"/>
          <w:szCs w:val="24"/>
          <w:highlight w:val="none"/>
        </w:rPr>
        <w:t>合同价格、计量与支付</w:t>
      </w:r>
      <w:bookmarkEnd w:id="2362"/>
    </w:p>
    <w:bookmarkEnd w:id="2363"/>
    <w:bookmarkEnd w:id="2364"/>
    <w:bookmarkEnd w:id="2365"/>
    <w:bookmarkEnd w:id="2366"/>
    <w:bookmarkEnd w:id="2367"/>
    <w:bookmarkEnd w:id="2368"/>
    <w:p>
      <w:pPr>
        <w:snapToGrid w:val="0"/>
        <w:spacing w:after="120" w:line="360" w:lineRule="auto"/>
        <w:ind w:firstLine="420" w:firstLineChars="200"/>
        <w:jc w:val="left"/>
        <w:rPr>
          <w:rFonts w:ascii="宋体" w:hAnsi="宋体" w:cs="宋体"/>
          <w:color w:val="auto"/>
          <w:szCs w:val="21"/>
          <w:highlight w:val="none"/>
        </w:rPr>
      </w:pPr>
      <w:bookmarkStart w:id="2369" w:name="_Toc292559411"/>
      <w:bookmarkStart w:id="2370" w:name="_Toc292559916"/>
      <w:bookmarkStart w:id="2371" w:name="_Toc267251461"/>
      <w:bookmarkStart w:id="2372" w:name="_Toc296347205"/>
      <w:bookmarkStart w:id="2373" w:name="_Toc296944545"/>
      <w:bookmarkStart w:id="2374" w:name="_Toc296346707"/>
      <w:bookmarkStart w:id="2375" w:name="_Toc297120506"/>
      <w:bookmarkStart w:id="2376" w:name="_Toc296503206"/>
      <w:bookmarkStart w:id="2377" w:name="_Toc297048392"/>
      <w:bookmarkStart w:id="2378" w:name="_Toc296891034"/>
      <w:bookmarkStart w:id="2379" w:name="_Toc296891246"/>
      <w:bookmarkStart w:id="2380" w:name="_Toc312678041"/>
      <w:bookmarkStart w:id="2381" w:name="_Toc304295580"/>
      <w:bookmarkStart w:id="2382" w:name="_Toc297123553"/>
      <w:bookmarkStart w:id="2383" w:name="_Toc303539160"/>
      <w:bookmarkStart w:id="2384" w:name="_Toc297216212"/>
      <w:bookmarkStart w:id="2385" w:name="_Toc300935003"/>
      <w:r>
        <w:rPr>
          <w:rFonts w:hint="eastAsia" w:ascii="宋体" w:hAnsi="宋体" w:cs="宋体"/>
          <w:color w:val="auto"/>
          <w:szCs w:val="21"/>
          <w:highlight w:val="none"/>
        </w:rPr>
        <w:t>12.1 合</w:t>
      </w:r>
      <w:bookmarkEnd w:id="2369"/>
      <w:bookmarkEnd w:id="2370"/>
      <w:bookmarkEnd w:id="2371"/>
      <w:r>
        <w:rPr>
          <w:rFonts w:hint="eastAsia" w:ascii="宋体" w:hAnsi="宋体" w:cs="宋体"/>
          <w:color w:val="auto"/>
          <w:szCs w:val="21"/>
          <w:highlight w:val="none"/>
        </w:rPr>
        <w:t>同价</w:t>
      </w:r>
      <w:bookmarkEnd w:id="2372"/>
      <w:bookmarkEnd w:id="2373"/>
      <w:bookmarkEnd w:id="2374"/>
      <w:bookmarkEnd w:id="2375"/>
      <w:bookmarkEnd w:id="2376"/>
      <w:bookmarkEnd w:id="2377"/>
      <w:bookmarkEnd w:id="2378"/>
      <w:bookmarkEnd w:id="2379"/>
      <w:r>
        <w:rPr>
          <w:rFonts w:hint="eastAsia" w:ascii="宋体" w:hAnsi="宋体" w:cs="宋体"/>
          <w:color w:val="auto"/>
          <w:szCs w:val="21"/>
          <w:highlight w:val="none"/>
        </w:rPr>
        <w:t>格形式</w:t>
      </w:r>
    </w:p>
    <w:bookmarkEnd w:id="2380"/>
    <w:bookmarkEnd w:id="2381"/>
    <w:bookmarkEnd w:id="2382"/>
    <w:bookmarkEnd w:id="2383"/>
    <w:bookmarkEnd w:id="2384"/>
    <w:bookmarkEnd w:id="2385"/>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1、单价合同。</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综合单价包含的风险范围：</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风险费用的计算方法：</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风险范围以外合同价格的调整方法：</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2、总价合同。</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总价包含的风险范围：</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风险费用的计算方法：</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风险范围以外合同价格的调整方法：</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3、其他价格方式：</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2386" w:name="_Toc297123554"/>
      <w:bookmarkStart w:id="2387" w:name="_Toc303539161"/>
      <w:bookmarkStart w:id="2388" w:name="_Toc304295581"/>
      <w:bookmarkStart w:id="2389" w:name="_Toc300935004"/>
      <w:bookmarkStart w:id="2390" w:name="_Toc312678042"/>
      <w:bookmarkStart w:id="2391" w:name="_Toc297216213"/>
      <w:bookmarkStart w:id="2392" w:name="_Toc296891035"/>
      <w:bookmarkStart w:id="2393" w:name="_Toc296503207"/>
      <w:bookmarkStart w:id="2394" w:name="_Toc296944546"/>
      <w:bookmarkStart w:id="2395" w:name="_Toc297048393"/>
      <w:bookmarkStart w:id="2396" w:name="_Toc296347206"/>
      <w:bookmarkStart w:id="2397" w:name="_Toc297120507"/>
      <w:bookmarkStart w:id="2398" w:name="_Toc292559412"/>
      <w:bookmarkStart w:id="2399" w:name="_Toc296891247"/>
      <w:bookmarkStart w:id="2400" w:name="_Toc292559917"/>
      <w:bookmarkStart w:id="2401" w:name="_Toc296346708"/>
      <w:r>
        <w:rPr>
          <w:rFonts w:hint="eastAsia" w:ascii="宋体" w:hAnsi="宋体" w:cs="宋体"/>
          <w:color w:val="auto"/>
          <w:szCs w:val="21"/>
          <w:highlight w:val="none"/>
        </w:rPr>
        <w:t>12.2 预付款</w:t>
      </w:r>
    </w:p>
    <w:bookmarkEnd w:id="2386"/>
    <w:bookmarkEnd w:id="2387"/>
    <w:bookmarkEnd w:id="2388"/>
    <w:bookmarkEnd w:id="2389"/>
    <w:bookmarkEnd w:id="2390"/>
    <w:bookmarkEnd w:id="2391"/>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12.2.1 预付款的支付</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预付款支付比例或金额：</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预付款支付期限：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预付款扣回的方式：</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12.2.2 预付款担保</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承包人提交预付款担保的期限：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预付款担保的形式为：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bookmarkEnd w:id="2392"/>
    <w:bookmarkEnd w:id="2393"/>
    <w:bookmarkEnd w:id="2394"/>
    <w:bookmarkEnd w:id="2395"/>
    <w:bookmarkEnd w:id="2396"/>
    <w:bookmarkEnd w:id="2397"/>
    <w:bookmarkEnd w:id="2398"/>
    <w:bookmarkEnd w:id="2399"/>
    <w:bookmarkEnd w:id="2400"/>
    <w:bookmarkEnd w:id="2401"/>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12.3 计量</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12.3.1 计量原则</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工程量计算规则：</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12.3.2 计量周期</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关于计量周期的约定：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12.3.3 单价合同的计量</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关于单价合同计量的约定：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12.3.4 总价合同的计量</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关于总价合同计量的约定：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12.3.5总价合同采用支付分解表计量支付的，是否适用第</w:t>
      </w:r>
      <w:r>
        <w:rPr>
          <w:rFonts w:hint="eastAsia" w:ascii="宋体" w:hAnsi="宋体" w:cs="宋体"/>
          <w:color w:val="auto"/>
          <w:kern w:val="0"/>
          <w:szCs w:val="21"/>
          <w:highlight w:val="none"/>
        </w:rPr>
        <w:t xml:space="preserve">12.3.4 </w:t>
      </w:r>
      <w:r>
        <w:rPr>
          <w:rFonts w:hint="eastAsia" w:ascii="宋体" w:hAnsi="宋体" w:cs="宋体"/>
          <w:color w:val="auto"/>
          <w:szCs w:val="21"/>
          <w:highlight w:val="none"/>
        </w:rPr>
        <w:t>项</w:t>
      </w:r>
      <w:r>
        <w:rPr>
          <w:rFonts w:hint="eastAsia" w:ascii="宋体" w:hAnsi="宋体" w:cs="宋体"/>
          <w:color w:val="auto"/>
          <w:kern w:val="0"/>
          <w:szCs w:val="21"/>
          <w:highlight w:val="none"/>
        </w:rPr>
        <w:t>〔总价合同的计量〕</w:t>
      </w:r>
      <w:r>
        <w:rPr>
          <w:rFonts w:hint="eastAsia" w:ascii="宋体" w:hAnsi="宋体" w:cs="宋体"/>
          <w:color w:val="auto"/>
          <w:szCs w:val="21"/>
          <w:highlight w:val="none"/>
        </w:rPr>
        <w:t>约定进行计量：</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12.3.6 其他价格形式合同的计量</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其他价格形式的计量方式和程序：</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12.4 工程进度款支付</w:t>
      </w:r>
    </w:p>
    <w:p>
      <w:pPr>
        <w:snapToGrid w:val="0"/>
        <w:spacing w:line="360" w:lineRule="auto"/>
        <w:ind w:firstLine="420" w:firstLineChars="200"/>
        <w:jc w:val="left"/>
        <w:rPr>
          <w:rFonts w:ascii="宋体" w:hAnsi="宋体" w:cs="宋体"/>
          <w:color w:val="auto"/>
          <w:szCs w:val="21"/>
          <w:highlight w:val="none"/>
        </w:rPr>
      </w:pPr>
      <w:bookmarkStart w:id="2402" w:name="_Toc296944550"/>
      <w:bookmarkStart w:id="2403" w:name="_Toc296891251"/>
      <w:bookmarkStart w:id="2404" w:name="_Toc292559921"/>
      <w:bookmarkStart w:id="2405" w:name="_Toc296891039"/>
      <w:bookmarkStart w:id="2406" w:name="_Toc296347210"/>
      <w:bookmarkStart w:id="2407" w:name="_Toc297123556"/>
      <w:bookmarkStart w:id="2408" w:name="_Toc296503211"/>
      <w:bookmarkStart w:id="2409" w:name="_Toc297216215"/>
      <w:bookmarkStart w:id="2410" w:name="_Toc297048397"/>
      <w:bookmarkStart w:id="2411" w:name="_Toc300935006"/>
      <w:bookmarkStart w:id="2412" w:name="_Toc297120511"/>
      <w:bookmarkStart w:id="2413" w:name="_Toc296346712"/>
      <w:bookmarkStart w:id="2414" w:name="_Toc303539163"/>
      <w:bookmarkStart w:id="2415" w:name="_Toc292559416"/>
      <w:r>
        <w:rPr>
          <w:rFonts w:hint="eastAsia" w:ascii="宋体" w:hAnsi="宋体" w:cs="宋体"/>
          <w:color w:val="auto"/>
          <w:szCs w:val="21"/>
          <w:highlight w:val="none"/>
        </w:rPr>
        <w:t>12.4.1 付款周期</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关于付款周期的约定：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12.4.2 进度付款申请单的编制</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关于进度付款申请单编制的约定：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r>
        <w:rPr>
          <w:rFonts w:hint="eastAsia" w:ascii="宋体" w:hAnsi="宋体" w:cs="宋体"/>
          <w:color w:val="auto"/>
          <w:szCs w:val="21"/>
          <w:highlight w:val="none"/>
        </w:rPr>
        <w:t>2.4.3 进度付款申请单的提交</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（1）单价合同进度付款申请单提交的约定：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（2）总价合同进度付款申请单提交的约定：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（3）其他价格形式合同进度付款申请单提交的约定：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12.4.4 进度款审核和支付</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（1）监理人审查并报送发包人的期限：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发包人完成审批并签发进度款支付证书的期限：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（2）发包人支付进度款的期限：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525" w:firstLineChars="250"/>
        <w:jc w:val="left"/>
        <w:rPr>
          <w:rFonts w:ascii="宋体" w:hAnsi="宋体" w:cs="宋体"/>
          <w:color w:val="auto"/>
          <w:szCs w:val="21"/>
          <w:highlight w:val="none"/>
          <w:u w:val="single"/>
        </w:rPr>
      </w:pPr>
      <w:r>
        <w:rPr>
          <w:rFonts w:hint="eastAsia" w:ascii="宋体" w:hAnsi="宋体" w:cs="宋体"/>
          <w:color w:val="auto"/>
          <w:szCs w:val="21"/>
          <w:highlight w:val="none"/>
        </w:rPr>
        <w:t>发包人逾期支付进度款的违约金的计算方式：</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12.4.6 支付分解表的编制</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2、总价合同支付分解表的编制与审批：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3、单价合同的总价项目支付分解表的编制与审批：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bookmarkEnd w:id="2243"/>
    <w:p>
      <w:pPr>
        <w:pStyle w:val="5"/>
        <w:snapToGrid w:val="0"/>
        <w:spacing w:before="120" w:after="120" w:line="360" w:lineRule="auto"/>
        <w:jc w:val="left"/>
        <w:rPr>
          <w:rFonts w:ascii="宋体" w:hAnsi="宋体" w:eastAsia="宋体" w:cs="宋体"/>
          <w:color w:val="auto"/>
          <w:sz w:val="24"/>
          <w:szCs w:val="24"/>
          <w:highlight w:val="none"/>
        </w:rPr>
      </w:pPr>
      <w:bookmarkStart w:id="2416" w:name="_Toc351203645"/>
      <w:bookmarkStart w:id="2417" w:name="_Toc296944558"/>
      <w:bookmarkStart w:id="2418" w:name="_Toc304295593"/>
      <w:bookmarkStart w:id="2419" w:name="_Toc300935015"/>
      <w:bookmarkStart w:id="2420" w:name="_Toc297120519"/>
      <w:bookmarkStart w:id="2421" w:name="_Toc296503219"/>
      <w:bookmarkStart w:id="2422" w:name="_Toc296346720"/>
      <w:bookmarkStart w:id="2423" w:name="_Toc292559929"/>
      <w:bookmarkStart w:id="2424" w:name="_Toc297048405"/>
      <w:bookmarkStart w:id="2425" w:name="_Toc303539172"/>
      <w:bookmarkStart w:id="2426" w:name="_Toc296891047"/>
      <w:bookmarkStart w:id="2427" w:name="_Toc297123564"/>
      <w:bookmarkStart w:id="2428" w:name="_Toc296347218"/>
      <w:bookmarkStart w:id="2429" w:name="_Toc312678053"/>
      <w:bookmarkStart w:id="2430" w:name="_Toc292559424"/>
      <w:bookmarkStart w:id="2431" w:name="_Toc297216223"/>
      <w:bookmarkStart w:id="2432" w:name="_Toc296891259"/>
      <w:r>
        <w:rPr>
          <w:rFonts w:hint="eastAsia" w:ascii="宋体" w:hAnsi="宋体" w:eastAsia="宋体" w:cs="宋体"/>
          <w:color w:val="auto"/>
          <w:sz w:val="24"/>
          <w:szCs w:val="24"/>
          <w:highlight w:val="none"/>
        </w:rPr>
        <w:t>13. 验收和工程试车</w:t>
      </w:r>
      <w:bookmarkEnd w:id="2416"/>
    </w:p>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13.1 </w:t>
      </w:r>
      <w:r>
        <w:rPr>
          <w:rFonts w:hint="eastAsia" w:ascii="宋体" w:hAnsi="宋体" w:cs="宋体"/>
          <w:color w:val="auto"/>
          <w:szCs w:val="21"/>
          <w:highlight w:val="none"/>
          <w:lang w:eastAsia="zh-CN"/>
        </w:rPr>
        <w:t>隐蔽</w:t>
      </w:r>
      <w:r>
        <w:rPr>
          <w:rFonts w:hint="eastAsia" w:ascii="宋体" w:hAnsi="宋体" w:cs="宋体"/>
          <w:color w:val="auto"/>
          <w:szCs w:val="21"/>
          <w:highlight w:val="none"/>
        </w:rPr>
        <w:t>工程验收</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13.1.2监理人不能按时进行验收时，应提前</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小时提交书面延期要求。</w:t>
      </w:r>
    </w:p>
    <w:p>
      <w:pPr>
        <w:snapToGrid w:val="0"/>
        <w:spacing w:line="360" w:lineRule="auto"/>
        <w:ind w:firstLine="420" w:firstLineChars="200"/>
        <w:jc w:val="left"/>
        <w:rPr>
          <w:rFonts w:ascii="宋体" w:hAnsi="宋体" w:cs="宋体"/>
          <w:b/>
          <w:color w:val="auto"/>
          <w:szCs w:val="21"/>
          <w:highlight w:val="none"/>
        </w:rPr>
      </w:pPr>
      <w:r>
        <w:rPr>
          <w:rFonts w:hint="eastAsia" w:ascii="宋体" w:hAnsi="宋体" w:cs="宋体"/>
          <w:color w:val="auto"/>
          <w:szCs w:val="21"/>
          <w:highlight w:val="none"/>
        </w:rPr>
        <w:t>关于延期最长不得超过：</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小时。</w:t>
      </w:r>
    </w:p>
    <w:p>
      <w:pPr>
        <w:snapToGrid w:val="0"/>
        <w:spacing w:after="120" w:line="360" w:lineRule="auto"/>
        <w:ind w:firstLine="420" w:firstLineChars="200"/>
        <w:jc w:val="left"/>
        <w:rPr>
          <w:rFonts w:ascii="宋体" w:hAnsi="宋体" w:cs="宋体"/>
          <w:color w:val="auto"/>
          <w:szCs w:val="21"/>
          <w:highlight w:val="none"/>
        </w:rPr>
      </w:pPr>
      <w:bookmarkStart w:id="2433" w:name="_Toc297123565"/>
      <w:bookmarkStart w:id="2434" w:name="_Toc312678056"/>
      <w:bookmarkStart w:id="2435" w:name="_Toc304295596"/>
      <w:bookmarkStart w:id="2436" w:name="_Toc296347222"/>
      <w:bookmarkStart w:id="2437" w:name="_Toc303539173"/>
      <w:bookmarkStart w:id="2438" w:name="_Toc292559933"/>
      <w:bookmarkStart w:id="2439" w:name="_Toc296503223"/>
      <w:bookmarkStart w:id="2440" w:name="_Toc297120523"/>
      <w:bookmarkStart w:id="2441" w:name="_Toc296346724"/>
      <w:bookmarkStart w:id="2442" w:name="_Toc292559428"/>
      <w:bookmarkStart w:id="2443" w:name="_Toc296944562"/>
      <w:bookmarkStart w:id="2444" w:name="_Toc297216224"/>
      <w:bookmarkStart w:id="2445" w:name="_Toc296891263"/>
      <w:bookmarkStart w:id="2446" w:name="_Toc296891051"/>
      <w:bookmarkStart w:id="2447" w:name="_Toc300935016"/>
      <w:bookmarkStart w:id="2448" w:name="_Toc297048409"/>
      <w:bookmarkStart w:id="2449" w:name="_Toc267251470"/>
      <w:bookmarkStart w:id="2450" w:name="_Toc267251471"/>
      <w:bookmarkStart w:id="2451" w:name="_Toc267251473"/>
      <w:bookmarkStart w:id="2452" w:name="_Toc267251472"/>
      <w:bookmarkStart w:id="2453" w:name="_Toc267251474"/>
      <w:bookmarkStart w:id="2454" w:name="_Toc267251476"/>
      <w:bookmarkStart w:id="2455" w:name="_Toc267251475"/>
      <w:r>
        <w:rPr>
          <w:rFonts w:hint="eastAsia" w:ascii="宋体" w:hAnsi="宋体" w:cs="宋体"/>
          <w:color w:val="auto"/>
          <w:szCs w:val="21"/>
          <w:highlight w:val="none"/>
        </w:rPr>
        <w:t>13.2 竣工验收</w:t>
      </w:r>
    </w:p>
    <w:bookmarkEnd w:id="2433"/>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p>
      <w:pPr>
        <w:snapToGrid w:val="0"/>
        <w:spacing w:line="360" w:lineRule="auto"/>
        <w:ind w:firstLine="420" w:firstLineChars="200"/>
        <w:jc w:val="left"/>
        <w:rPr>
          <w:rFonts w:ascii="宋体" w:hAnsi="宋体" w:cs="宋体"/>
          <w:color w:val="auto"/>
          <w:szCs w:val="21"/>
          <w:highlight w:val="none"/>
        </w:rPr>
      </w:pPr>
      <w:bookmarkStart w:id="2456" w:name="_Toc280868704"/>
      <w:bookmarkStart w:id="2457" w:name="_Toc280868705"/>
      <w:bookmarkStart w:id="2458" w:name="_Toc280868706"/>
      <w:bookmarkStart w:id="2459" w:name="_Toc280868707"/>
      <w:bookmarkStart w:id="2460" w:name="_Toc280868708"/>
      <w:bookmarkStart w:id="2461" w:name="_Toc280868709"/>
      <w:r>
        <w:rPr>
          <w:rFonts w:hint="eastAsia" w:ascii="宋体" w:hAnsi="宋体" w:cs="宋体"/>
          <w:color w:val="auto"/>
          <w:szCs w:val="21"/>
          <w:highlight w:val="none"/>
        </w:rPr>
        <w:t>13.2.2竣工验收程序</w:t>
      </w:r>
    </w:p>
    <w:bookmarkEnd w:id="2456"/>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关于竣工验收程序的约定：</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highlight w:val="none"/>
          <w:u w:val="single"/>
        </w:rPr>
        <w:t>本工程验收工作按主持单位分为</w:t>
      </w:r>
      <w:r>
        <w:rPr>
          <w:rFonts w:hint="eastAsia" w:ascii="宋体" w:hAnsi="宋体" w:cs="宋体"/>
          <w:color w:val="auto"/>
          <w:highlight w:val="none"/>
          <w:u w:val="single"/>
          <w:lang w:eastAsia="zh-CN"/>
        </w:rPr>
        <w:t>单项工程</w:t>
      </w:r>
      <w:r>
        <w:rPr>
          <w:rFonts w:hint="eastAsia" w:ascii="宋体" w:hAnsi="宋体" w:cs="宋体"/>
          <w:color w:val="auto"/>
          <w:highlight w:val="none"/>
          <w:u w:val="single"/>
        </w:rPr>
        <w:t>验收、初步验收和竣工验收。</w:t>
      </w:r>
      <w:r>
        <w:rPr>
          <w:rFonts w:hint="eastAsia" w:ascii="宋体" w:hAnsi="宋体" w:cs="宋体"/>
          <w:color w:val="auto"/>
          <w:highlight w:val="none"/>
          <w:u w:val="single"/>
          <w:lang w:eastAsia="zh-CN"/>
        </w:rPr>
        <w:t>单项工程</w:t>
      </w:r>
      <w:r>
        <w:rPr>
          <w:rFonts w:hint="eastAsia" w:ascii="宋体" w:hAnsi="宋体" w:cs="宋体"/>
          <w:color w:val="auto"/>
          <w:highlight w:val="none"/>
          <w:u w:val="single"/>
        </w:rPr>
        <w:t>验收由</w:t>
      </w:r>
      <w:r>
        <w:rPr>
          <w:rFonts w:hint="eastAsia" w:ascii="宋体" w:hAnsi="宋体" w:cs="宋体"/>
          <w:color w:val="auto"/>
          <w:highlight w:val="none"/>
          <w:u w:val="single"/>
          <w:lang w:eastAsia="zh-CN"/>
        </w:rPr>
        <w:t>建设单位主持或委托</w:t>
      </w:r>
      <w:r>
        <w:rPr>
          <w:rFonts w:hint="eastAsia" w:ascii="宋体" w:hAnsi="宋体" w:cs="宋体"/>
          <w:color w:val="auto"/>
          <w:highlight w:val="none"/>
          <w:u w:val="single"/>
        </w:rPr>
        <w:t>监理人主持，初步验收由县级人民政府农业农村主管部门组织，竣工验收由项目初步设计审批部门组织。承包人应完成全部验收的配合工作，所需费用应含在已标价工程量清单中。</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发包人不按照本项约定组织</w:t>
      </w:r>
      <w:r>
        <w:rPr>
          <w:rFonts w:hint="eastAsia" w:ascii="宋体" w:hAnsi="宋体" w:cs="宋体"/>
          <w:color w:val="auto"/>
          <w:kern w:val="0"/>
          <w:szCs w:val="21"/>
          <w:highlight w:val="none"/>
          <w:lang w:eastAsia="zh-CN"/>
        </w:rPr>
        <w:t>单项工程验收</w:t>
      </w:r>
      <w:r>
        <w:rPr>
          <w:rFonts w:hint="eastAsia" w:ascii="宋体" w:hAnsi="宋体" w:cs="宋体"/>
          <w:color w:val="auto"/>
          <w:kern w:val="0"/>
          <w:szCs w:val="21"/>
          <w:highlight w:val="none"/>
        </w:rPr>
        <w:t>的违约金的计算方法：</w:t>
      </w:r>
      <w:r>
        <w:rPr>
          <w:rFonts w:hint="eastAsia" w:ascii="宋体" w:hAnsi="宋体" w:cs="宋体"/>
          <w:color w:val="auto"/>
          <w:szCs w:val="21"/>
          <w:highlight w:val="none"/>
        </w:rPr>
        <w:t>。</w:t>
      </w:r>
    </w:p>
    <w:bookmarkEnd w:id="2457"/>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13.2.5移交、接收全部与部分工程</w:t>
      </w:r>
    </w:p>
    <w:bookmarkEnd w:id="2458"/>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承包人向发包人移交工程的期限：</w:t>
      </w:r>
      <w:r>
        <w:rPr>
          <w:rFonts w:hint="eastAsia" w:ascii="宋体" w:hAnsi="宋体" w:cs="宋体"/>
          <w:color w:val="auto"/>
          <w:kern w:val="0"/>
          <w:szCs w:val="21"/>
          <w:highlight w:val="none"/>
          <w:lang w:eastAsia="zh-CN"/>
        </w:rPr>
        <w:t>承包人应当在项目通过竣工验收后，</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none"/>
          <w:lang w:val="en-US" w:eastAsia="zh-CN"/>
        </w:rPr>
        <w:t>个月内移交发包人使用</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发包人未按本合同约定接收全部或部分工程的，违约金的计算方法为：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bookmarkEnd w:id="2459"/>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承包人未按时移交工程的，违约金的计算方法为：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13.3 工程试车</w:t>
      </w:r>
    </w:p>
    <w:bookmarkEnd w:id="2460"/>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13.3.1 试车程序</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工程试车内容：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（1）单机无负荷试车费用由承担；</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（2）无负荷联动试车费用由承担。</w:t>
      </w:r>
    </w:p>
    <w:p>
      <w:pPr>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13.3.3 投料试车</w:t>
      </w:r>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关于投料试车相关事项的约定：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bookmarkStart w:id="2462" w:name="_Toc109149878"/>
      <w:bookmarkStart w:id="2463" w:name="_Toc20921"/>
      <w:r>
        <w:rPr>
          <w:rFonts w:hint="eastAsia" w:ascii="宋体" w:hAnsi="宋体" w:cs="宋体"/>
          <w:color w:val="auto"/>
          <w:szCs w:val="21"/>
          <w:highlight w:val="none"/>
        </w:rPr>
        <w:t>13.6 竣工退场</w:t>
      </w:r>
      <w:bookmarkEnd w:id="2462"/>
      <w:bookmarkEnd w:id="2463"/>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13.6.1 竣工退场</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承包人完成竣工退场的期限：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pStyle w:val="5"/>
        <w:snapToGrid w:val="0"/>
        <w:spacing w:before="120" w:after="120" w:line="360" w:lineRule="auto"/>
        <w:jc w:val="left"/>
        <w:rPr>
          <w:rFonts w:ascii="宋体" w:hAnsi="宋体" w:eastAsia="宋体" w:cs="宋体"/>
          <w:color w:val="auto"/>
          <w:sz w:val="24"/>
          <w:szCs w:val="24"/>
          <w:highlight w:val="none"/>
        </w:rPr>
      </w:pPr>
      <w:bookmarkStart w:id="2464" w:name="_Toc351203646"/>
      <w:r>
        <w:rPr>
          <w:rFonts w:hint="eastAsia" w:ascii="宋体" w:hAnsi="宋体" w:eastAsia="宋体" w:cs="宋体"/>
          <w:color w:val="auto"/>
          <w:sz w:val="24"/>
          <w:szCs w:val="24"/>
          <w:highlight w:val="none"/>
        </w:rPr>
        <w:t xml:space="preserve">14. </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结算</w:t>
      </w:r>
      <w:bookmarkEnd w:id="2464"/>
    </w:p>
    <w:p>
      <w:pPr>
        <w:snapToGrid w:val="0"/>
        <w:spacing w:after="120" w:line="360" w:lineRule="auto"/>
        <w:ind w:firstLine="420" w:firstLineChars="200"/>
        <w:jc w:val="left"/>
        <w:outlineLvl w:val="9"/>
        <w:rPr>
          <w:rFonts w:ascii="宋体" w:hAnsi="宋体" w:cs="宋体"/>
          <w:color w:val="auto"/>
          <w:szCs w:val="21"/>
          <w:highlight w:val="none"/>
        </w:rPr>
      </w:pPr>
      <w:bookmarkStart w:id="2465" w:name="_Toc109149879"/>
      <w:r>
        <w:rPr>
          <w:rFonts w:hint="eastAsia" w:ascii="宋体" w:hAnsi="宋体" w:cs="宋体"/>
          <w:color w:val="auto"/>
          <w:szCs w:val="21"/>
          <w:highlight w:val="none"/>
        </w:rPr>
        <w:t xml:space="preserve">14.1 </w:t>
      </w:r>
      <w:r>
        <w:rPr>
          <w:rFonts w:hint="eastAsia" w:ascii="宋体" w:hAnsi="宋体" w:cs="宋体"/>
          <w:color w:val="auto"/>
          <w:szCs w:val="21"/>
          <w:highlight w:val="none"/>
          <w:lang w:eastAsia="zh-CN"/>
        </w:rPr>
        <w:t>工程</w:t>
      </w:r>
      <w:r>
        <w:rPr>
          <w:rFonts w:hint="eastAsia" w:ascii="宋体" w:hAnsi="宋体" w:cs="宋体"/>
          <w:color w:val="auto"/>
          <w:szCs w:val="21"/>
          <w:highlight w:val="none"/>
        </w:rPr>
        <w:t>结算申请</w:t>
      </w:r>
      <w:bookmarkEnd w:id="2465"/>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承包人提交完工结算申请单的期限：承包人</w:t>
      </w:r>
      <w:r>
        <w:rPr>
          <w:rFonts w:hint="eastAsia" w:ascii="宋体" w:hAnsi="宋体" w:cs="宋体"/>
          <w:color w:val="auto"/>
          <w:szCs w:val="21"/>
          <w:highlight w:val="none"/>
          <w:lang w:eastAsia="zh-CN"/>
        </w:rPr>
        <w:t>应当</w:t>
      </w:r>
      <w:r>
        <w:rPr>
          <w:rFonts w:hint="eastAsia" w:ascii="宋体" w:hAnsi="宋体" w:cs="宋体"/>
          <w:color w:val="auto"/>
          <w:szCs w:val="21"/>
          <w:highlight w:val="none"/>
        </w:rPr>
        <w:t>在</w:t>
      </w:r>
      <w:r>
        <w:rPr>
          <w:rFonts w:hint="eastAsia" w:ascii="宋体" w:hAnsi="宋体" w:cs="宋体"/>
          <w:color w:val="auto"/>
          <w:szCs w:val="21"/>
          <w:highlight w:val="none"/>
          <w:lang w:eastAsia="zh-CN"/>
        </w:rPr>
        <w:t>通过区级初步验收，取得初步验收意见后的</w:t>
      </w: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天</w:t>
      </w:r>
      <w:r>
        <w:rPr>
          <w:rFonts w:hint="eastAsia" w:ascii="宋体" w:hAnsi="宋体" w:cs="宋体"/>
          <w:color w:val="auto"/>
          <w:szCs w:val="21"/>
          <w:highlight w:val="none"/>
          <w:lang w:eastAsia="zh-CN"/>
        </w:rPr>
        <w:t>内，</w:t>
      </w:r>
      <w:r>
        <w:rPr>
          <w:rFonts w:hint="eastAsia" w:ascii="宋体" w:hAnsi="宋体" w:cs="宋体"/>
          <w:color w:val="auto"/>
          <w:szCs w:val="21"/>
          <w:highlight w:val="none"/>
        </w:rPr>
        <w:t>向发包人和监理人提交完工结算申请单，并提交完整的结算资料。</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rPr>
        <w:t>完工结算申请单应包括的内容：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bookmarkStart w:id="2466" w:name="_Toc1715"/>
      <w:r>
        <w:rPr>
          <w:rFonts w:hint="eastAsia" w:ascii="宋体" w:hAnsi="宋体" w:cs="宋体"/>
          <w:color w:val="auto"/>
          <w:szCs w:val="21"/>
          <w:highlight w:val="none"/>
        </w:rPr>
        <w:t>14.2 完工结算审核</w:t>
      </w:r>
      <w:bookmarkEnd w:id="2466"/>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lang w:eastAsia="zh-CN"/>
        </w:rPr>
        <w:t>工程结算审核执行《建设工程价款结算暂行办法》（财建[2004]369号）文</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发包人完成完工付款的期限：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rPr>
        <w:t>关于完工付款证书异议部分复核的方式和程序：</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14.4 最终结清</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14.4.1 最终结清申请单</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承包人提交最终结清申请单的份数：</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kern w:val="0"/>
          <w:szCs w:val="21"/>
          <w:highlight w:val="none"/>
        </w:rPr>
        <w:t>承包人提交最终结算申请单的期限：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 </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14.4.2 最终结清证书和支付</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（1）发包人完成最终结清申请单的审批并颁发最终结清证书的期限：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（2）发包人完成支付的期限：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bookmarkEnd w:id="2449"/>
    <w:bookmarkEnd w:id="2450"/>
    <w:bookmarkEnd w:id="2451"/>
    <w:bookmarkEnd w:id="2452"/>
    <w:bookmarkEnd w:id="2453"/>
    <w:bookmarkEnd w:id="2454"/>
    <w:bookmarkEnd w:id="2455"/>
    <w:bookmarkEnd w:id="2461"/>
    <w:p>
      <w:pPr>
        <w:pStyle w:val="5"/>
        <w:snapToGrid w:val="0"/>
        <w:spacing w:before="120" w:after="120" w:line="360" w:lineRule="auto"/>
        <w:jc w:val="left"/>
        <w:rPr>
          <w:rFonts w:ascii="宋体" w:hAnsi="宋体" w:eastAsia="宋体" w:cs="宋体"/>
          <w:color w:val="auto"/>
          <w:sz w:val="24"/>
          <w:szCs w:val="24"/>
          <w:highlight w:val="none"/>
        </w:rPr>
      </w:pPr>
      <w:bookmarkStart w:id="2467" w:name="_Toc351203647"/>
      <w:bookmarkStart w:id="2468" w:name="_Toc267251483"/>
      <w:bookmarkStart w:id="2469" w:name="_Toc267251484"/>
      <w:bookmarkStart w:id="2470" w:name="_Toc267251482"/>
      <w:bookmarkStart w:id="2471" w:name="_Toc267251485"/>
      <w:bookmarkStart w:id="2472" w:name="_Toc267251490"/>
      <w:bookmarkStart w:id="2473" w:name="_Toc267251488"/>
      <w:bookmarkStart w:id="2474" w:name="_Toc267251489"/>
      <w:bookmarkStart w:id="2475" w:name="_Toc267251486"/>
      <w:bookmarkStart w:id="2476" w:name="_Toc267251494"/>
      <w:bookmarkStart w:id="2477" w:name="_Toc267251499"/>
      <w:bookmarkStart w:id="2478" w:name="_Toc267251503"/>
      <w:bookmarkStart w:id="2479" w:name="_Toc267251493"/>
      <w:bookmarkStart w:id="2480" w:name="_Toc267251496"/>
      <w:bookmarkStart w:id="2481" w:name="_Toc267251495"/>
      <w:bookmarkStart w:id="2482" w:name="_Toc267251497"/>
      <w:bookmarkStart w:id="2483" w:name="_Toc267251502"/>
      <w:bookmarkStart w:id="2484" w:name="_Toc267251491"/>
      <w:bookmarkStart w:id="2485" w:name="_Toc267251492"/>
      <w:bookmarkStart w:id="2486" w:name="_Toc267251498"/>
      <w:bookmarkStart w:id="2487" w:name="_Toc267251501"/>
      <w:bookmarkStart w:id="2488" w:name="_Toc267251506"/>
      <w:bookmarkStart w:id="2489" w:name="_Toc267251504"/>
      <w:bookmarkStart w:id="2490" w:name="_Toc267251507"/>
      <w:bookmarkStart w:id="2491" w:name="_Toc267251508"/>
      <w:bookmarkStart w:id="2492" w:name="_Toc267251515"/>
      <w:bookmarkStart w:id="2493" w:name="_Toc267251513"/>
      <w:bookmarkStart w:id="2494" w:name="_Toc267251511"/>
      <w:bookmarkStart w:id="2495" w:name="_Toc267251509"/>
      <w:bookmarkStart w:id="2496" w:name="_Toc267251510"/>
      <w:bookmarkStart w:id="2497" w:name="_Toc267251514"/>
      <w:r>
        <w:rPr>
          <w:rFonts w:hint="eastAsia" w:ascii="宋体" w:hAnsi="宋体" w:eastAsia="宋体" w:cs="宋体"/>
          <w:color w:val="auto"/>
          <w:sz w:val="24"/>
          <w:szCs w:val="24"/>
          <w:highlight w:val="none"/>
        </w:rPr>
        <w:t>15. 缺陷责任期与保修</w:t>
      </w:r>
      <w:bookmarkEnd w:id="2467"/>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15.2缺陷责任期</w:t>
      </w:r>
      <w:bookmarkEnd w:id="2468"/>
    </w:p>
    <w:p>
      <w:pPr>
        <w:snapToGrid w:val="0"/>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缺陷责任期的具体期限：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rPr>
          <w:rFonts w:ascii="宋体" w:hAnsi="宋体" w:cs="宋体"/>
          <w:color w:val="auto"/>
          <w:szCs w:val="21"/>
          <w:highlight w:val="none"/>
        </w:rPr>
      </w:pPr>
      <w:bookmarkStart w:id="2498" w:name="_Toc11844"/>
      <w:r>
        <w:rPr>
          <w:rFonts w:hint="eastAsia" w:ascii="宋体" w:hAnsi="宋体" w:cs="宋体"/>
          <w:color w:val="auto"/>
          <w:szCs w:val="21"/>
          <w:highlight w:val="none"/>
        </w:rPr>
        <w:t>15.3 质量保证金</w:t>
      </w:r>
      <w:bookmarkEnd w:id="2498"/>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关于是否扣留质量保证金的约定：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在工程项目竣工前，承包人按专用合同条款第3.7条提供履约担保的，发包人不得同时预留工程质量保证金。</w:t>
      </w:r>
    </w:p>
    <w:p>
      <w:pPr>
        <w:snapToGrid w:val="0"/>
        <w:spacing w:line="360" w:lineRule="auto"/>
        <w:ind w:firstLine="420" w:firstLineChars="200"/>
        <w:jc w:val="left"/>
        <w:rPr>
          <w:rFonts w:ascii="宋体" w:hAnsi="宋体" w:cs="宋体"/>
          <w:color w:val="auto"/>
          <w:szCs w:val="21"/>
          <w:highlight w:val="none"/>
        </w:rPr>
      </w:pPr>
      <w:bookmarkStart w:id="2499" w:name="_Toc12926"/>
      <w:r>
        <w:rPr>
          <w:rFonts w:hint="eastAsia" w:ascii="宋体" w:hAnsi="宋体" w:cs="宋体"/>
          <w:color w:val="auto"/>
          <w:szCs w:val="21"/>
          <w:highlight w:val="none"/>
        </w:rPr>
        <w:t>15.3.1 承包人提供质量保证金的方式</w:t>
      </w:r>
      <w:bookmarkEnd w:id="2499"/>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质量保证金采用以下第</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种方式：</w:t>
      </w:r>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（1）质量保证金保函，保证金额为：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 xml:space="preserve">； </w:t>
      </w:r>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%的工程款；</w:t>
      </w:r>
    </w:p>
    <w:p>
      <w:pPr>
        <w:autoSpaceDE w:val="0"/>
        <w:autoSpaceDN w:val="0"/>
        <w:adjustRightInd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（3）其他方式:</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rPr>
          <w:rFonts w:ascii="宋体" w:hAnsi="宋体" w:cs="宋体"/>
          <w:color w:val="auto"/>
          <w:szCs w:val="21"/>
          <w:highlight w:val="none"/>
        </w:rPr>
      </w:pPr>
      <w:bookmarkStart w:id="2500" w:name="_Toc2488"/>
      <w:r>
        <w:rPr>
          <w:rFonts w:hint="eastAsia" w:ascii="宋体" w:hAnsi="宋体" w:cs="宋体"/>
          <w:color w:val="auto"/>
          <w:szCs w:val="21"/>
          <w:highlight w:val="none"/>
        </w:rPr>
        <w:t>15.3.2 质量保证金的扣留</w:t>
      </w:r>
      <w:bookmarkEnd w:id="2500"/>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质量保证金的扣留采取以下第</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种方式：</w:t>
      </w:r>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（1）在支付工程进度款时逐次扣留，在此情形下，质量保证金的计算基数不包括预付款的支付、扣回以及价格调整的金额；</w:t>
      </w:r>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bookmarkStart w:id="2501" w:name="_Toc6724"/>
      <w:r>
        <w:rPr>
          <w:rFonts w:hint="eastAsia" w:ascii="宋体" w:hAnsi="宋体" w:cs="宋体"/>
          <w:color w:val="auto"/>
          <w:kern w:val="0"/>
          <w:szCs w:val="21"/>
          <w:highlight w:val="none"/>
        </w:rPr>
        <w:t>（2）工程完工结算时一次性扣留质量保证金；</w:t>
      </w:r>
      <w:bookmarkEnd w:id="2501"/>
    </w:p>
    <w:p>
      <w:pPr>
        <w:autoSpaceDE w:val="0"/>
        <w:autoSpaceDN w:val="0"/>
        <w:adjustRightInd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（3）其他扣留方式:。</w:t>
      </w:r>
    </w:p>
    <w:p>
      <w:pPr>
        <w:snapToGrid w:val="0"/>
        <w:spacing w:line="36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szCs w:val="21"/>
          <w:highlight w:val="none"/>
        </w:rPr>
        <w:t>关于质量保证金的补充约定：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bookmarkEnd w:id="2469"/>
    <w:bookmarkEnd w:id="2470"/>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15.4保修</w:t>
      </w:r>
    </w:p>
    <w:bookmarkEnd w:id="2471"/>
    <w:p>
      <w:pPr>
        <w:snapToGrid w:val="0"/>
        <w:spacing w:line="360" w:lineRule="auto"/>
        <w:ind w:firstLine="409" w:firstLineChars="195"/>
        <w:jc w:val="left"/>
        <w:rPr>
          <w:rFonts w:ascii="宋体" w:hAnsi="宋体" w:cs="宋体"/>
          <w:color w:val="auto"/>
          <w:szCs w:val="21"/>
          <w:highlight w:val="none"/>
        </w:rPr>
      </w:pPr>
      <w:r>
        <w:rPr>
          <w:rFonts w:hint="eastAsia" w:ascii="宋体" w:hAnsi="宋体" w:cs="宋体"/>
          <w:color w:val="auto"/>
          <w:szCs w:val="21"/>
          <w:highlight w:val="none"/>
        </w:rPr>
        <w:t>15.4.1 保修责任</w:t>
      </w:r>
    </w:p>
    <w:p>
      <w:pPr>
        <w:snapToGrid w:val="0"/>
        <w:spacing w:line="360" w:lineRule="auto"/>
        <w:ind w:firstLine="409" w:firstLineChars="195"/>
        <w:jc w:val="left"/>
        <w:rPr>
          <w:rFonts w:ascii="宋体" w:hAnsi="宋体" w:cs="宋体"/>
          <w:color w:val="auto"/>
          <w:kern w:val="0"/>
          <w:szCs w:val="21"/>
          <w:highlight w:val="none"/>
          <w:u w:val="single"/>
        </w:rPr>
      </w:pPr>
      <w:r>
        <w:rPr>
          <w:rFonts w:hint="eastAsia" w:ascii="宋体" w:hAnsi="宋体" w:cs="宋体"/>
          <w:color w:val="auto"/>
          <w:szCs w:val="21"/>
          <w:highlight w:val="none"/>
        </w:rPr>
        <w:t>工程保修期为：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09" w:firstLineChars="195"/>
        <w:jc w:val="left"/>
        <w:rPr>
          <w:rFonts w:ascii="宋体" w:hAnsi="宋体" w:cs="宋体"/>
          <w:color w:val="auto"/>
          <w:szCs w:val="21"/>
          <w:highlight w:val="none"/>
        </w:rPr>
      </w:pPr>
      <w:r>
        <w:rPr>
          <w:rFonts w:hint="eastAsia" w:ascii="宋体" w:hAnsi="宋体" w:cs="宋体"/>
          <w:color w:val="auto"/>
          <w:szCs w:val="21"/>
          <w:highlight w:val="none"/>
        </w:rPr>
        <w:t>15.4.3 修复通知</w:t>
      </w:r>
    </w:p>
    <w:p>
      <w:pPr>
        <w:snapToGrid w:val="0"/>
        <w:spacing w:line="360" w:lineRule="auto"/>
        <w:ind w:firstLine="409" w:firstLineChars="195"/>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承包人收到保修通知并到达工程现场的合理时间：</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bookmarkEnd w:id="2472"/>
    <w:bookmarkEnd w:id="2473"/>
    <w:bookmarkEnd w:id="2474"/>
    <w:bookmarkEnd w:id="2475"/>
    <w:p>
      <w:pPr>
        <w:pStyle w:val="5"/>
        <w:snapToGrid w:val="0"/>
        <w:spacing w:before="120" w:after="120" w:line="360" w:lineRule="auto"/>
        <w:jc w:val="left"/>
        <w:rPr>
          <w:rFonts w:ascii="宋体" w:hAnsi="宋体" w:eastAsia="宋体" w:cs="宋体"/>
          <w:color w:val="auto"/>
          <w:sz w:val="24"/>
          <w:szCs w:val="24"/>
          <w:highlight w:val="none"/>
        </w:rPr>
      </w:pPr>
      <w:bookmarkStart w:id="2502" w:name="_Toc351203648"/>
      <w:bookmarkStart w:id="2503" w:name="_Toc280868717"/>
      <w:bookmarkStart w:id="2504" w:name="_Toc280868718"/>
      <w:r>
        <w:rPr>
          <w:rFonts w:hint="eastAsia" w:ascii="宋体" w:hAnsi="宋体" w:eastAsia="宋体" w:cs="宋体"/>
          <w:color w:val="auto"/>
          <w:sz w:val="24"/>
          <w:szCs w:val="24"/>
          <w:highlight w:val="none"/>
        </w:rPr>
        <w:t>16. 违约</w:t>
      </w:r>
      <w:bookmarkEnd w:id="2502"/>
    </w:p>
    <w:p>
      <w:pPr>
        <w:snapToGrid w:val="0"/>
        <w:spacing w:after="120" w:line="360" w:lineRule="auto"/>
        <w:ind w:firstLine="420" w:firstLineChars="200"/>
        <w:jc w:val="left"/>
        <w:outlineLvl w:val="9"/>
        <w:rPr>
          <w:rFonts w:ascii="宋体" w:hAnsi="宋体" w:cs="宋体"/>
          <w:color w:val="auto"/>
          <w:szCs w:val="21"/>
          <w:highlight w:val="none"/>
        </w:rPr>
      </w:pPr>
      <w:bookmarkStart w:id="2505" w:name="_Toc109149880"/>
      <w:bookmarkStart w:id="2506" w:name="_Toc8231"/>
      <w:r>
        <w:rPr>
          <w:rFonts w:hint="eastAsia" w:ascii="宋体" w:hAnsi="宋体" w:cs="宋体"/>
          <w:color w:val="auto"/>
          <w:szCs w:val="21"/>
          <w:highlight w:val="none"/>
        </w:rPr>
        <w:t>16.1 发包人违约</w:t>
      </w:r>
      <w:bookmarkEnd w:id="2505"/>
      <w:bookmarkEnd w:id="2506"/>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16.1.1发包人违约的情形</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rPr>
        <w:t>发包人违约的其他情形：</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left="1050" w:hanging="1050" w:hangingChars="5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 xml:space="preserve">    16.1.2 发包人违约的责任</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发包人违约责任的承担方式和计算方法：</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（1）因发包人原因未能在计划开工日期前7天内下达开工通知的违约责任：</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（2）因发包人原因未能按合同约定支付合同价款的违约责任：</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（3）发包人违反第10.1款〔变更的范围〕第（2）项约定，自行实施被取消的工作或转由他人实施的违约责任：</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（4）发包人提供的材料、工程设备的规格、数量或质量不符合合同约定，或因发包人原因导致交货日期延误或交货地点变更等情况的违约责任：</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rPr>
        <w:t>（5）因发包人违反合同约定造成暂停施工的违约责任：</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（6）发包人无正当理由没有在约定期限内发出复工指示，导致承包人无法复工的违约责任：</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（7）其他：</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16.1.3 因发包人违约解除合同</w:t>
      </w:r>
    </w:p>
    <w:p>
      <w:pPr>
        <w:autoSpaceDE w:val="0"/>
        <w:autoSpaceDN w:val="0"/>
        <w:adjustRightInd w:val="0"/>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承包人按16.1.1项〔发包人违约的情形〕约定暂停施工满天后发包人仍不纠正其违约行为并致使合同目的不能实现的，承包人有权解除合同。</w:t>
      </w:r>
    </w:p>
    <w:p>
      <w:pPr>
        <w:snapToGrid w:val="0"/>
        <w:spacing w:after="120" w:line="360" w:lineRule="auto"/>
        <w:ind w:firstLine="420" w:firstLineChars="200"/>
        <w:jc w:val="left"/>
        <w:outlineLvl w:val="9"/>
        <w:rPr>
          <w:rFonts w:ascii="宋体" w:hAnsi="宋体" w:cs="宋体"/>
          <w:color w:val="auto"/>
          <w:szCs w:val="21"/>
          <w:highlight w:val="none"/>
        </w:rPr>
      </w:pPr>
      <w:bookmarkStart w:id="2507" w:name="_Toc109149881"/>
      <w:bookmarkStart w:id="2508" w:name="_Toc14685"/>
      <w:r>
        <w:rPr>
          <w:rFonts w:hint="eastAsia" w:ascii="宋体" w:hAnsi="宋体" w:cs="宋体"/>
          <w:color w:val="auto"/>
          <w:szCs w:val="21"/>
          <w:highlight w:val="none"/>
        </w:rPr>
        <w:t>16.2 承包人违约</w:t>
      </w:r>
      <w:bookmarkEnd w:id="2507"/>
      <w:bookmarkEnd w:id="2508"/>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16.2.1 承包人违约的情形</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1</w:t>
      </w:r>
      <w:r>
        <w:rPr>
          <w:rFonts w:hint="eastAsia" w:ascii="宋体" w:hAnsi="宋体" w:cs="宋体"/>
          <w:color w:val="auto"/>
          <w:kern w:val="0"/>
          <w:szCs w:val="21"/>
          <w:highlight w:val="none"/>
          <w:u w:val="single"/>
        </w:rPr>
        <w:t>）未按照投标文件与合同约定投入施工机械。</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2</w:t>
      </w:r>
      <w:r>
        <w:rPr>
          <w:rFonts w:hint="eastAsia" w:ascii="宋体" w:hAnsi="宋体" w:cs="宋体"/>
          <w:color w:val="auto"/>
          <w:kern w:val="0"/>
          <w:szCs w:val="21"/>
          <w:highlight w:val="none"/>
          <w:u w:val="single"/>
        </w:rPr>
        <w:t>）未按照合同约定日期完成施工任务。</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3</w:t>
      </w:r>
      <w:r>
        <w:rPr>
          <w:rFonts w:hint="eastAsia" w:ascii="宋体" w:hAnsi="宋体" w:cs="宋体"/>
          <w:color w:val="auto"/>
          <w:kern w:val="0"/>
          <w:szCs w:val="21"/>
          <w:highlight w:val="none"/>
          <w:u w:val="single"/>
        </w:rPr>
        <w:t>）未按照合同约定日期完成完工结算申请。</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4</w:t>
      </w:r>
      <w:r>
        <w:rPr>
          <w:rFonts w:hint="eastAsia" w:ascii="宋体" w:hAnsi="宋体" w:cs="宋体"/>
          <w:color w:val="auto"/>
          <w:kern w:val="0"/>
          <w:szCs w:val="21"/>
          <w:highlight w:val="none"/>
          <w:u w:val="single"/>
        </w:rPr>
        <w:t>）未按照工程设计图纸和施工技术标准施工，擅自修改、变更项目设计文件。</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5</w:t>
      </w:r>
      <w:r>
        <w:rPr>
          <w:rFonts w:hint="eastAsia" w:ascii="宋体" w:hAnsi="宋体" w:cs="宋体"/>
          <w:color w:val="auto"/>
          <w:kern w:val="0"/>
          <w:szCs w:val="21"/>
          <w:highlight w:val="none"/>
          <w:u w:val="single"/>
        </w:rPr>
        <w:t>）未对原材料和中间材料取样和送检，擅自投入使用未经检验或经检验不合格的原材料和中间材料。</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6</w:t>
      </w:r>
      <w:r>
        <w:rPr>
          <w:rFonts w:hint="eastAsia" w:ascii="宋体" w:hAnsi="宋体" w:cs="宋体"/>
          <w:color w:val="auto"/>
          <w:kern w:val="0"/>
          <w:szCs w:val="21"/>
          <w:highlight w:val="none"/>
          <w:u w:val="single"/>
        </w:rPr>
        <w:t>）未经验收或质量检验评定不合格，擅自进行下一个工种、下一道工序施工。</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7</w:t>
      </w:r>
      <w:r>
        <w:rPr>
          <w:rFonts w:hint="eastAsia" w:ascii="宋体" w:hAnsi="宋体" w:cs="宋体"/>
          <w:color w:val="auto"/>
          <w:kern w:val="0"/>
          <w:szCs w:val="21"/>
          <w:highlight w:val="none"/>
          <w:u w:val="single"/>
        </w:rPr>
        <w:t>）未建立健全安全生产责任制度和安全生产教育培训制度，未对所承担的建设工程进行定期和专项安全检查、做好安全检查记录。</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8</w:t>
      </w:r>
      <w:r>
        <w:rPr>
          <w:rFonts w:hint="eastAsia" w:ascii="宋体" w:hAnsi="宋体" w:cs="宋体"/>
          <w:color w:val="auto"/>
          <w:kern w:val="0"/>
          <w:szCs w:val="21"/>
          <w:highlight w:val="none"/>
          <w:u w:val="single"/>
        </w:rPr>
        <w:t>）未实行农民工劳动用工实名制管理，与招用的农民工未书面约定工资支付标准、支付时间、支付方式等内容。未按照与农民工书面约定的工资支付周期和具体支付日期足额支付工资。未按照工资支付周期编制书面工资支付台账。</w:t>
      </w:r>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16.2.2承包人违约的责任</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kern w:val="0"/>
          <w:szCs w:val="21"/>
          <w:highlight w:val="none"/>
        </w:rPr>
        <w:t>承包人违约责任的承担方式和计算方法：</w:t>
      </w:r>
      <w:r>
        <w:rPr>
          <w:rFonts w:hint="eastAsia" w:ascii="宋体" w:hAnsi="宋体" w:cs="宋体"/>
          <w:color w:val="auto"/>
          <w:kern w:val="0"/>
          <w:szCs w:val="21"/>
          <w:highlight w:val="none"/>
          <w:u w:val="single"/>
        </w:rPr>
        <w:t>承包人存在16.2.1第（1）（</w:t>
      </w:r>
      <w:r>
        <w:rPr>
          <w:rFonts w:hint="eastAsia" w:ascii="宋体" w:hAnsi="宋体" w:cs="宋体"/>
          <w:color w:val="auto"/>
          <w:kern w:val="0"/>
          <w:szCs w:val="21"/>
          <w:highlight w:val="none"/>
          <w:u w:val="single"/>
          <w:lang w:val="en-US" w:eastAsia="zh-CN"/>
        </w:rPr>
        <w:t>4</w:t>
      </w:r>
      <w:r>
        <w:rPr>
          <w:rFonts w:hint="eastAsia" w:ascii="宋体" w:hAnsi="宋体" w:cs="宋体"/>
          <w:color w:val="auto"/>
          <w:kern w:val="0"/>
          <w:szCs w:val="21"/>
          <w:highlight w:val="none"/>
          <w:u w:val="single"/>
        </w:rPr>
        <w:t>）（5）（6）（7）（8）违约情形，经发包人、监理人或行政主管部门书面文件指出，拒绝整改或未在限期内完成整改的，</w:t>
      </w:r>
      <w:r>
        <w:rPr>
          <w:rFonts w:hint="eastAsia"/>
          <w:color w:val="auto"/>
          <w:highlight w:val="none"/>
          <w:u w:val="single"/>
        </w:rPr>
        <w:t>承包人按</w:t>
      </w:r>
      <w:r>
        <w:rPr>
          <w:rFonts w:hint="eastAsia"/>
          <w:color w:val="auto"/>
          <w:szCs w:val="21"/>
          <w:highlight w:val="none"/>
          <w:u w:val="single"/>
        </w:rPr>
        <w:t>200000</w:t>
      </w:r>
      <w:r>
        <w:rPr>
          <w:rFonts w:hint="eastAsia" w:ascii="宋体" w:hAnsi="宋体"/>
          <w:color w:val="auto"/>
          <w:szCs w:val="21"/>
          <w:highlight w:val="none"/>
          <w:u w:val="single"/>
        </w:rPr>
        <w:t xml:space="preserve"> 元/次向发包人支付违约金（按照发送书面文件的次数）</w:t>
      </w:r>
      <w:r>
        <w:rPr>
          <w:rFonts w:hint="eastAsia" w:ascii="宋体" w:hAnsi="宋体" w:cs="宋体"/>
          <w:color w:val="auto"/>
          <w:kern w:val="0"/>
          <w:szCs w:val="21"/>
          <w:highlight w:val="none"/>
          <w:u w:val="single"/>
        </w:rPr>
        <w:t>。</w:t>
      </w:r>
    </w:p>
    <w:p>
      <w:pPr>
        <w:snapToGrid w:val="0"/>
        <w:spacing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承包人存在16.2.1第（</w:t>
      </w:r>
      <w:r>
        <w:rPr>
          <w:rFonts w:hint="eastAsia" w:ascii="宋体" w:hAnsi="宋体" w:cs="宋体"/>
          <w:color w:val="auto"/>
          <w:kern w:val="0"/>
          <w:szCs w:val="21"/>
          <w:highlight w:val="none"/>
          <w:u w:val="single"/>
          <w:lang w:val="en-US" w:eastAsia="zh-CN"/>
        </w:rPr>
        <w:t>2</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val="en-US" w:eastAsia="zh-CN"/>
        </w:rPr>
        <w:t>3</w:t>
      </w:r>
      <w:r>
        <w:rPr>
          <w:rFonts w:hint="eastAsia" w:ascii="宋体" w:hAnsi="宋体" w:cs="宋体"/>
          <w:color w:val="auto"/>
          <w:kern w:val="0"/>
          <w:szCs w:val="21"/>
          <w:highlight w:val="none"/>
          <w:u w:val="single"/>
        </w:rPr>
        <w:t>）违约情形的，从逾期之日起每日按本合同总价的3‰的数额向发包人支付违约金；逾期半个月以上的，发包人有权终止合同，由此造成的发包人经济损失由承包人承担。</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16.2.3 因承包人违约解除合同</w:t>
      </w:r>
    </w:p>
    <w:p>
      <w:pPr>
        <w:snapToGrid w:val="0"/>
        <w:spacing w:before="120" w:after="120" w:line="360" w:lineRule="auto"/>
        <w:ind w:firstLine="420" w:firstLineChars="200"/>
        <w:jc w:val="left"/>
        <w:outlineLvl w:val="9"/>
        <w:rPr>
          <w:rFonts w:ascii="宋体" w:hAnsi="宋体" w:cs="宋体"/>
          <w:color w:val="auto"/>
          <w:kern w:val="0"/>
          <w:szCs w:val="21"/>
          <w:highlight w:val="none"/>
          <w:u w:val="single"/>
        </w:rPr>
      </w:pPr>
      <w:r>
        <w:rPr>
          <w:rFonts w:hint="eastAsia" w:ascii="宋体" w:hAnsi="宋体" w:cs="宋体"/>
          <w:color w:val="auto"/>
          <w:kern w:val="0"/>
          <w:szCs w:val="21"/>
          <w:highlight w:val="none"/>
        </w:rPr>
        <w:t>关于承包人违约解除合同的特别约定：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before="120" w:after="120"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kern w:val="0"/>
          <w:szCs w:val="21"/>
          <w:highlight w:val="none"/>
        </w:rPr>
        <w:t>发包人继续使用承包人在施工现场的材料、设备、临时工程、承包人文件和由承包人或以其名义编制的其他文件的费用承担方式：</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pStyle w:val="5"/>
        <w:snapToGrid w:val="0"/>
        <w:spacing w:before="120" w:after="120" w:line="360" w:lineRule="auto"/>
        <w:jc w:val="left"/>
        <w:rPr>
          <w:rFonts w:ascii="宋体" w:hAnsi="宋体" w:eastAsia="宋体" w:cs="宋体"/>
          <w:color w:val="auto"/>
          <w:sz w:val="24"/>
          <w:szCs w:val="24"/>
          <w:highlight w:val="none"/>
        </w:rPr>
      </w:pPr>
      <w:bookmarkStart w:id="2509" w:name="_Toc351203649"/>
      <w:r>
        <w:rPr>
          <w:rFonts w:hint="eastAsia" w:ascii="宋体" w:hAnsi="宋体" w:eastAsia="宋体" w:cs="宋体"/>
          <w:color w:val="auto"/>
          <w:sz w:val="24"/>
          <w:szCs w:val="24"/>
          <w:highlight w:val="none"/>
        </w:rPr>
        <w:t>17. 不可抗力</w:t>
      </w:r>
      <w:bookmarkEnd w:id="2503"/>
      <w:bookmarkEnd w:id="2509"/>
    </w:p>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17.1 不可抗力的确认</w:t>
      </w:r>
    </w:p>
    <w:p>
      <w:pPr>
        <w:snapToGrid w:val="0"/>
        <w:spacing w:line="36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szCs w:val="21"/>
          <w:highlight w:val="none"/>
        </w:rPr>
        <w:t>除通用合同条款约定的不可抗力事件之外，视为不可抗力的其他情形：</w:t>
      </w:r>
      <w:r>
        <w:rPr>
          <w:rFonts w:hint="eastAsia" w:ascii="宋体" w:hAnsi="宋体" w:cs="宋体"/>
          <w:color w:val="auto"/>
          <w:kern w:val="0"/>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bookmarkStart w:id="2510" w:name="_Toc14541"/>
      <w:bookmarkStart w:id="2511" w:name="_Toc109149882"/>
      <w:r>
        <w:rPr>
          <w:rFonts w:hint="eastAsia" w:ascii="宋体" w:hAnsi="宋体" w:cs="宋体"/>
          <w:color w:val="auto"/>
          <w:szCs w:val="21"/>
          <w:highlight w:val="none"/>
        </w:rPr>
        <w:t>17.4 因不可抗力解除合同</w:t>
      </w:r>
      <w:bookmarkEnd w:id="2510"/>
      <w:bookmarkEnd w:id="2511"/>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合同解除后，发包人应在商定或确定发包人应支付款项后天内完成款项的支付。</w:t>
      </w:r>
    </w:p>
    <w:p>
      <w:pPr>
        <w:pStyle w:val="5"/>
        <w:snapToGrid w:val="0"/>
        <w:spacing w:before="120" w:after="120" w:line="360" w:lineRule="auto"/>
        <w:jc w:val="left"/>
        <w:rPr>
          <w:rFonts w:ascii="宋体" w:hAnsi="宋体" w:eastAsia="宋体" w:cs="宋体"/>
          <w:color w:val="auto"/>
          <w:sz w:val="24"/>
          <w:szCs w:val="24"/>
          <w:highlight w:val="none"/>
        </w:rPr>
      </w:pPr>
      <w:bookmarkStart w:id="2512" w:name="_Toc351203650"/>
      <w:r>
        <w:rPr>
          <w:rFonts w:hint="eastAsia" w:ascii="宋体" w:hAnsi="宋体" w:eastAsia="宋体" w:cs="宋体"/>
          <w:color w:val="auto"/>
          <w:sz w:val="24"/>
          <w:szCs w:val="24"/>
          <w:highlight w:val="none"/>
        </w:rPr>
        <w:t>18. 保险</w:t>
      </w:r>
      <w:bookmarkEnd w:id="2512"/>
    </w:p>
    <w:bookmarkEnd w:id="2504"/>
    <w:p>
      <w:pPr>
        <w:snapToGrid w:val="0"/>
        <w:spacing w:after="12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18.1 工程保险</w:t>
      </w:r>
    </w:p>
    <w:p>
      <w:pPr>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关于工程保险的特别约定：</w:t>
      </w:r>
      <w:r>
        <w:rPr>
          <w:rFonts w:hint="eastAsia" w:ascii="宋体" w:hAnsi="宋体" w:cs="宋体"/>
          <w:color w:val="auto"/>
          <w:kern w:val="0"/>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bookmarkStart w:id="2513" w:name="_Toc109149883"/>
      <w:bookmarkStart w:id="2514" w:name="_Toc13878"/>
      <w:r>
        <w:rPr>
          <w:rFonts w:hint="eastAsia" w:ascii="宋体" w:hAnsi="宋体" w:cs="宋体"/>
          <w:color w:val="auto"/>
          <w:szCs w:val="21"/>
          <w:highlight w:val="none"/>
        </w:rPr>
        <w:t>18.3 其他保险</w:t>
      </w:r>
      <w:bookmarkEnd w:id="2513"/>
      <w:bookmarkEnd w:id="2514"/>
    </w:p>
    <w:p>
      <w:pPr>
        <w:snapToGrid w:val="0"/>
        <w:spacing w:line="360" w:lineRule="auto"/>
        <w:ind w:firstLine="420" w:firstLineChars="200"/>
        <w:jc w:val="left"/>
        <w:outlineLvl w:val="9"/>
        <w:rPr>
          <w:rFonts w:ascii="宋体" w:hAnsi="宋体" w:cs="宋体"/>
          <w:color w:val="auto"/>
          <w:kern w:val="0"/>
          <w:szCs w:val="21"/>
          <w:highlight w:val="none"/>
        </w:rPr>
      </w:pPr>
      <w:r>
        <w:rPr>
          <w:rFonts w:hint="eastAsia" w:ascii="宋体" w:hAnsi="宋体" w:cs="宋体"/>
          <w:color w:val="auto"/>
          <w:szCs w:val="21"/>
          <w:highlight w:val="none"/>
        </w:rPr>
        <w:t>关于其他保险的约定：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kern w:val="0"/>
          <w:szCs w:val="21"/>
          <w:highlight w:val="none"/>
        </w:rPr>
        <w:t>。</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rPr>
        <w:t>承包人是否应为其施工设备等办理财产保险：</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18.7 通知义务</w:t>
      </w:r>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kern w:val="0"/>
          <w:szCs w:val="21"/>
          <w:highlight w:val="none"/>
        </w:rPr>
        <w:t>关于变更保险合同时的通知义务的约定：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bookmarkEnd w:id="2476"/>
    <w:bookmarkEnd w:id="2477"/>
    <w:bookmarkEnd w:id="2478"/>
    <w:bookmarkEnd w:id="2479"/>
    <w:bookmarkEnd w:id="2480"/>
    <w:bookmarkEnd w:id="2481"/>
    <w:bookmarkEnd w:id="2482"/>
    <w:bookmarkEnd w:id="2483"/>
    <w:bookmarkEnd w:id="2484"/>
    <w:bookmarkEnd w:id="2485"/>
    <w:bookmarkEnd w:id="2486"/>
    <w:bookmarkEnd w:id="2487"/>
    <w:p>
      <w:pPr>
        <w:pStyle w:val="5"/>
        <w:snapToGrid w:val="0"/>
        <w:spacing w:before="120" w:after="120" w:line="360" w:lineRule="auto"/>
        <w:jc w:val="left"/>
        <w:rPr>
          <w:rFonts w:ascii="宋体" w:hAnsi="宋体" w:eastAsia="宋体" w:cs="宋体"/>
          <w:color w:val="auto"/>
          <w:sz w:val="24"/>
          <w:szCs w:val="24"/>
          <w:highlight w:val="none"/>
        </w:rPr>
      </w:pPr>
      <w:bookmarkStart w:id="2515" w:name="_Toc351203651"/>
      <w:r>
        <w:rPr>
          <w:rFonts w:hint="eastAsia" w:ascii="宋体" w:hAnsi="宋体" w:eastAsia="宋体" w:cs="宋体"/>
          <w:color w:val="auto"/>
          <w:sz w:val="24"/>
          <w:szCs w:val="24"/>
          <w:highlight w:val="none"/>
        </w:rPr>
        <w:t>20. 争议解决</w:t>
      </w:r>
      <w:bookmarkEnd w:id="2515"/>
    </w:p>
    <w:bookmarkEnd w:id="2488"/>
    <w:bookmarkEnd w:id="2489"/>
    <w:p>
      <w:pPr>
        <w:snapToGrid w:val="0"/>
        <w:spacing w:after="120" w:line="360" w:lineRule="auto"/>
        <w:ind w:firstLine="420" w:firstLineChars="200"/>
        <w:jc w:val="left"/>
        <w:outlineLvl w:val="9"/>
        <w:rPr>
          <w:rFonts w:ascii="宋体" w:hAnsi="宋体" w:cs="宋体"/>
          <w:color w:val="auto"/>
          <w:szCs w:val="21"/>
          <w:highlight w:val="none"/>
        </w:rPr>
      </w:pPr>
      <w:bookmarkStart w:id="2516" w:name="_Toc29696"/>
      <w:bookmarkStart w:id="2517" w:name="_Toc109149884"/>
      <w:r>
        <w:rPr>
          <w:rFonts w:hint="eastAsia" w:ascii="宋体" w:hAnsi="宋体" w:cs="宋体"/>
          <w:color w:val="auto"/>
          <w:szCs w:val="21"/>
          <w:highlight w:val="none"/>
        </w:rPr>
        <w:t>20.3 争</w:t>
      </w:r>
      <w:bookmarkEnd w:id="2490"/>
      <w:r>
        <w:rPr>
          <w:rFonts w:hint="eastAsia" w:ascii="宋体" w:hAnsi="宋体" w:cs="宋体"/>
          <w:color w:val="auto"/>
          <w:szCs w:val="21"/>
          <w:highlight w:val="none"/>
        </w:rPr>
        <w:t>议评审</w:t>
      </w:r>
      <w:bookmarkEnd w:id="2516"/>
      <w:bookmarkEnd w:id="2517"/>
    </w:p>
    <w:p>
      <w:pPr>
        <w:snapToGrid w:val="0"/>
        <w:spacing w:line="360" w:lineRule="auto"/>
        <w:ind w:left="149" w:leftChars="71" w:firstLine="315" w:firstLineChars="150"/>
        <w:jc w:val="left"/>
        <w:outlineLvl w:val="9"/>
        <w:rPr>
          <w:rFonts w:ascii="宋体" w:hAnsi="宋体" w:cs="宋体"/>
          <w:color w:val="auto"/>
          <w:szCs w:val="21"/>
          <w:highlight w:val="none"/>
          <w:u w:val="single"/>
        </w:rPr>
      </w:pPr>
      <w:r>
        <w:rPr>
          <w:rFonts w:hint="eastAsia" w:ascii="宋体" w:hAnsi="宋体" w:cs="宋体"/>
          <w:color w:val="auto"/>
          <w:szCs w:val="21"/>
          <w:highlight w:val="none"/>
        </w:rPr>
        <w:t>合同当事人是否同意将工程争议提交争议评审小组决定：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  </w:t>
      </w:r>
    </w:p>
    <w:p>
      <w:pPr>
        <w:snapToGrid w:val="0"/>
        <w:spacing w:line="360" w:lineRule="auto"/>
        <w:ind w:firstLine="420" w:firstLineChars="200"/>
        <w:jc w:val="left"/>
        <w:outlineLvl w:val="9"/>
        <w:rPr>
          <w:rFonts w:ascii="宋体" w:hAnsi="宋体" w:cs="宋体"/>
          <w:color w:val="auto"/>
          <w:szCs w:val="21"/>
          <w:highlight w:val="none"/>
        </w:rPr>
      </w:pPr>
      <w:bookmarkStart w:id="2518" w:name="_Toc23809"/>
      <w:bookmarkStart w:id="2519" w:name="_Toc109149885"/>
      <w:r>
        <w:rPr>
          <w:rFonts w:hint="eastAsia" w:ascii="宋体" w:hAnsi="宋体" w:cs="宋体"/>
          <w:color w:val="auto"/>
          <w:szCs w:val="21"/>
          <w:highlight w:val="none"/>
        </w:rPr>
        <w:t>20.3.1 争议评审小组的确定</w:t>
      </w:r>
      <w:bookmarkEnd w:id="2518"/>
      <w:bookmarkEnd w:id="2519"/>
    </w:p>
    <w:p>
      <w:pPr>
        <w:snapToGrid w:val="0"/>
        <w:spacing w:line="360" w:lineRule="auto"/>
        <w:ind w:firstLine="420" w:firstLineChars="200"/>
        <w:jc w:val="left"/>
        <w:outlineLvl w:val="9"/>
        <w:rPr>
          <w:rFonts w:ascii="宋体" w:hAnsi="宋体" w:cs="宋体"/>
          <w:color w:val="auto"/>
          <w:szCs w:val="21"/>
          <w:highlight w:val="none"/>
          <w:u w:val="single"/>
        </w:rPr>
      </w:pPr>
      <w:r>
        <w:rPr>
          <w:rFonts w:hint="eastAsia" w:ascii="宋体" w:hAnsi="宋体" w:cs="宋体"/>
          <w:color w:val="auto"/>
          <w:szCs w:val="21"/>
          <w:highlight w:val="none"/>
        </w:rPr>
        <w:t>争议评审小组成员的确定：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选定争议评审员的期限：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争议评审小组成员的报酬承担方式：</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其他事项的约定：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autoSpaceDE w:val="0"/>
        <w:autoSpaceDN w:val="0"/>
        <w:adjustRightInd w:val="0"/>
        <w:snapToGrid w:val="0"/>
        <w:spacing w:line="360" w:lineRule="auto"/>
        <w:ind w:firstLine="420" w:firstLineChars="200"/>
        <w:jc w:val="left"/>
        <w:outlineLvl w:val="9"/>
        <w:rPr>
          <w:rFonts w:ascii="宋体" w:hAnsi="宋体" w:cs="宋体"/>
          <w:color w:val="auto"/>
          <w:kern w:val="0"/>
          <w:szCs w:val="21"/>
          <w:highlight w:val="none"/>
        </w:rPr>
      </w:pPr>
      <w:bookmarkStart w:id="2520" w:name="_Toc109149886"/>
      <w:bookmarkStart w:id="2521" w:name="_Toc11670"/>
      <w:r>
        <w:rPr>
          <w:rFonts w:hint="eastAsia" w:ascii="宋体" w:hAnsi="宋体" w:cs="宋体"/>
          <w:color w:val="auto"/>
          <w:kern w:val="0"/>
          <w:szCs w:val="21"/>
          <w:highlight w:val="none"/>
        </w:rPr>
        <w:t>20.3.2 争议评审小组的决定</w:t>
      </w:r>
      <w:bookmarkEnd w:id="2520"/>
      <w:bookmarkEnd w:id="2521"/>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合同当事人关于本项的约定：</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w:t>
      </w:r>
    </w:p>
    <w:p>
      <w:pPr>
        <w:snapToGrid w:val="0"/>
        <w:spacing w:after="120" w:line="360" w:lineRule="auto"/>
        <w:ind w:firstLine="420" w:firstLineChars="200"/>
        <w:jc w:val="left"/>
        <w:outlineLvl w:val="9"/>
        <w:rPr>
          <w:rFonts w:ascii="宋体" w:hAnsi="宋体" w:cs="宋体"/>
          <w:color w:val="auto"/>
          <w:szCs w:val="21"/>
          <w:highlight w:val="none"/>
        </w:rPr>
      </w:pPr>
      <w:bookmarkStart w:id="2522" w:name="_Toc250"/>
      <w:r>
        <w:rPr>
          <w:rFonts w:hint="eastAsia" w:ascii="宋体" w:hAnsi="宋体" w:cs="宋体"/>
          <w:color w:val="auto"/>
          <w:szCs w:val="21"/>
          <w:highlight w:val="none"/>
        </w:rPr>
        <w:t>20.4仲裁或诉讼</w:t>
      </w:r>
      <w:bookmarkEnd w:id="2491"/>
      <w:bookmarkEnd w:id="2522"/>
    </w:p>
    <w:p>
      <w:pPr>
        <w:snapToGrid w:val="0"/>
        <w:spacing w:after="120"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因合同及合同有关事项发生的争议，按下列第种方式解决：</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（1）向仲裁委员会申请仲裁；</w:t>
      </w:r>
    </w:p>
    <w:p>
      <w:pPr>
        <w:snapToGrid w:val="0"/>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（2）向人民法院起诉。</w:t>
      </w:r>
      <w:bookmarkEnd w:id="2492"/>
      <w:bookmarkEnd w:id="2493"/>
      <w:bookmarkEnd w:id="2494"/>
      <w:bookmarkEnd w:id="2495"/>
      <w:bookmarkEnd w:id="2496"/>
      <w:bookmarkEnd w:id="2497"/>
    </w:p>
    <w:p>
      <w:pPr>
        <w:snapToGrid w:val="0"/>
        <w:spacing w:line="360" w:lineRule="auto"/>
        <w:jc w:val="left"/>
        <w:rPr>
          <w:rFonts w:ascii="宋体" w:hAnsi="宋体" w:cs="宋体"/>
          <w:b/>
          <w:bCs/>
          <w:color w:val="auto"/>
          <w:szCs w:val="21"/>
          <w:highlight w:val="none"/>
        </w:rPr>
      </w:pPr>
      <w:bookmarkStart w:id="2523" w:name="_Toc351203652"/>
    </w:p>
    <w:p>
      <w:pPr>
        <w:snapToGrid w:val="0"/>
        <w:spacing w:line="360" w:lineRule="auto"/>
        <w:jc w:val="left"/>
        <w:rPr>
          <w:rFonts w:ascii="宋体" w:hAnsi="宋体" w:cs="宋体"/>
          <w:b/>
          <w:bCs/>
          <w:color w:val="auto"/>
          <w:szCs w:val="21"/>
          <w:highlight w:val="none"/>
        </w:rPr>
      </w:pPr>
    </w:p>
    <w:p>
      <w:pPr>
        <w:snapToGrid w:val="0"/>
        <w:spacing w:line="360" w:lineRule="auto"/>
        <w:jc w:val="left"/>
        <w:rPr>
          <w:rFonts w:ascii="宋体" w:hAnsi="宋体" w:cs="宋体"/>
          <w:b/>
          <w:bCs/>
          <w:color w:val="auto"/>
          <w:szCs w:val="21"/>
          <w:highlight w:val="none"/>
        </w:rPr>
      </w:pPr>
    </w:p>
    <w:p>
      <w:pPr>
        <w:snapToGrid w:val="0"/>
        <w:spacing w:line="360" w:lineRule="auto"/>
        <w:jc w:val="left"/>
        <w:rPr>
          <w:rFonts w:ascii="宋体" w:hAnsi="宋体" w:cs="宋体"/>
          <w:b/>
          <w:bCs/>
          <w:color w:val="auto"/>
          <w:szCs w:val="21"/>
          <w:highlight w:val="none"/>
        </w:rPr>
      </w:pPr>
    </w:p>
    <w:p>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pPr>
        <w:pStyle w:val="5"/>
        <w:snapToGrid w:val="0"/>
        <w:spacing w:before="120" w:after="120" w:line="360" w:lineRule="auto"/>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附件</w:t>
      </w:r>
      <w:bookmarkEnd w:id="2523"/>
      <w:r>
        <w:rPr>
          <w:rFonts w:hint="eastAsia" w:ascii="宋体" w:hAnsi="宋体" w:eastAsia="宋体" w:cs="宋体"/>
          <w:color w:val="auto"/>
          <w:sz w:val="24"/>
          <w:szCs w:val="24"/>
          <w:highlight w:val="none"/>
        </w:rPr>
        <w:t>（根据项目需要选用）</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协议书附件：</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附件1：承包人承揽工程项目一览表</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专用合同条款附件：</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附件2：发包人供应材料设备一览表</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附件3：工程质量保修书</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附件4：主要建设工程文件目录</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附件5：承包人用于本工程施工的机械设备表</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附件6：承包人主要施工管理人员表</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附件7：分包人主要施工管理人员表</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附件8：履约担保格式</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附件9：预付款担保格式</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附件10：支付担保格式</w:t>
      </w:r>
    </w:p>
    <w:p>
      <w:pPr>
        <w:spacing w:line="360" w:lineRule="auto"/>
        <w:jc w:val="left"/>
        <w:rPr>
          <w:rFonts w:ascii="宋体" w:hAnsi="宋体" w:cs="宋体"/>
          <w:color w:val="auto"/>
          <w:szCs w:val="21"/>
          <w:highlight w:val="none"/>
        </w:rPr>
        <w:sectPr>
          <w:footerReference r:id="rId8" w:type="first"/>
          <w:footerReference r:id="rId7" w:type="default"/>
          <w:pgSz w:w="11906" w:h="16838"/>
          <w:pgMar w:top="1418" w:right="1555" w:bottom="1418" w:left="1531" w:header="851" w:footer="992" w:gutter="0"/>
          <w:pgNumType w:fmt="decimal"/>
          <w:cols w:space="720" w:num="1"/>
          <w:titlePg/>
          <w:docGrid w:type="lines" w:linePitch="312" w:charSpace="0"/>
        </w:sectPr>
      </w:pPr>
      <w:r>
        <w:rPr>
          <w:rFonts w:hint="eastAsia" w:ascii="宋体" w:hAnsi="宋体" w:cs="宋体"/>
          <w:color w:val="auto"/>
          <w:szCs w:val="21"/>
          <w:highlight w:val="none"/>
        </w:rPr>
        <w:t>附件11：暂估价一览表</w:t>
      </w:r>
    </w:p>
    <w:p>
      <w:pPr>
        <w:spacing w:beforeLines="50" w:afterLines="50" w:line="440" w:lineRule="exact"/>
        <w:jc w:val="left"/>
        <w:rPr>
          <w:rFonts w:ascii="宋体" w:hAnsi="宋体" w:cs="宋体"/>
          <w:color w:val="auto"/>
          <w:szCs w:val="21"/>
          <w:highlight w:val="none"/>
        </w:rPr>
      </w:pPr>
      <w:r>
        <w:rPr>
          <w:rFonts w:hint="eastAsia" w:ascii="宋体" w:hAnsi="宋体" w:cs="宋体"/>
          <w:color w:val="auto"/>
          <w:szCs w:val="21"/>
          <w:highlight w:val="none"/>
        </w:rPr>
        <w:t>附件1：</w:t>
      </w:r>
    </w:p>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承包人承揽工程项目一览表</w:t>
      </w:r>
    </w:p>
    <w:tbl>
      <w:tblPr>
        <w:tblStyle w:val="28"/>
        <w:tblW w:w="14601" w:type="dxa"/>
        <w:tblInd w:w="-39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277"/>
        <w:gridCol w:w="1843"/>
        <w:gridCol w:w="1417"/>
        <w:gridCol w:w="2410"/>
        <w:gridCol w:w="850"/>
        <w:gridCol w:w="1560"/>
        <w:gridCol w:w="2126"/>
        <w:gridCol w:w="1417"/>
        <w:gridCol w:w="851"/>
        <w:gridCol w:w="8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1277"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843"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241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56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2126"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843"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241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56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2126"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843"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41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56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126"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843"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41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56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126"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vAlign w:val="center"/>
          </w:tcPr>
          <w:p>
            <w:pPr>
              <w:pStyle w:val="8"/>
              <w:keepNext/>
              <w:spacing w:after="0" w:line="440" w:lineRule="exact"/>
              <w:ind w:left="63" w:right="63"/>
              <w:rPr>
                <w:rFonts w:ascii="宋体" w:hAnsi="宋体" w:cs="宋体"/>
                <w:color w:val="auto"/>
                <w:szCs w:val="21"/>
                <w:highlight w:val="none"/>
              </w:rPr>
            </w:pPr>
          </w:p>
        </w:tc>
        <w:tc>
          <w:tcPr>
            <w:tcW w:w="1843" w:type="dxa"/>
            <w:vAlign w:val="center"/>
          </w:tcPr>
          <w:p>
            <w:pPr>
              <w:pStyle w:val="8"/>
              <w:keepNext/>
              <w:spacing w:after="0" w:line="440" w:lineRule="exact"/>
              <w:ind w:left="63" w:right="63"/>
              <w:rPr>
                <w:rFonts w:ascii="宋体" w:hAnsi="宋体" w:cs="宋体"/>
                <w:color w:val="auto"/>
                <w:szCs w:val="21"/>
                <w:highlight w:val="none"/>
              </w:rPr>
            </w:pPr>
          </w:p>
        </w:tc>
        <w:tc>
          <w:tcPr>
            <w:tcW w:w="1417" w:type="dxa"/>
            <w:vAlign w:val="center"/>
          </w:tcPr>
          <w:p>
            <w:pPr>
              <w:pStyle w:val="8"/>
              <w:keepNext/>
              <w:spacing w:after="0" w:line="440" w:lineRule="exact"/>
              <w:ind w:left="63" w:right="63"/>
              <w:rPr>
                <w:rFonts w:ascii="宋体" w:hAnsi="宋体" w:cs="宋体"/>
                <w:color w:val="auto"/>
                <w:szCs w:val="21"/>
                <w:highlight w:val="none"/>
              </w:rPr>
            </w:pPr>
          </w:p>
        </w:tc>
        <w:tc>
          <w:tcPr>
            <w:tcW w:w="2410"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560" w:type="dxa"/>
            <w:vAlign w:val="center"/>
          </w:tcPr>
          <w:p>
            <w:pPr>
              <w:pStyle w:val="8"/>
              <w:keepNext/>
              <w:spacing w:after="0" w:line="440" w:lineRule="exact"/>
              <w:ind w:left="63" w:right="63"/>
              <w:rPr>
                <w:rFonts w:ascii="宋体" w:hAnsi="宋体" w:cs="宋体"/>
                <w:color w:val="auto"/>
                <w:szCs w:val="21"/>
                <w:highlight w:val="none"/>
              </w:rPr>
            </w:pPr>
          </w:p>
        </w:tc>
        <w:tc>
          <w:tcPr>
            <w:tcW w:w="2126" w:type="dxa"/>
            <w:vAlign w:val="center"/>
          </w:tcPr>
          <w:p>
            <w:pPr>
              <w:pStyle w:val="8"/>
              <w:keepNext/>
              <w:spacing w:after="0" w:line="440" w:lineRule="exact"/>
              <w:ind w:left="63" w:right="63"/>
              <w:rPr>
                <w:rFonts w:ascii="宋体" w:hAnsi="宋体" w:cs="宋体"/>
                <w:color w:val="auto"/>
                <w:szCs w:val="21"/>
                <w:highlight w:val="none"/>
              </w:rPr>
            </w:pPr>
          </w:p>
        </w:tc>
        <w:tc>
          <w:tcPr>
            <w:tcW w:w="1417"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843"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41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56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126"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vAlign w:val="center"/>
          </w:tcPr>
          <w:p>
            <w:pPr>
              <w:pStyle w:val="8"/>
              <w:keepNext/>
              <w:spacing w:after="0" w:line="440" w:lineRule="exact"/>
              <w:ind w:left="63" w:right="63"/>
              <w:rPr>
                <w:rFonts w:ascii="宋体" w:hAnsi="宋体" w:cs="宋体"/>
                <w:color w:val="auto"/>
                <w:szCs w:val="21"/>
                <w:highlight w:val="none"/>
              </w:rPr>
            </w:pPr>
          </w:p>
        </w:tc>
        <w:tc>
          <w:tcPr>
            <w:tcW w:w="1843" w:type="dxa"/>
            <w:vAlign w:val="center"/>
          </w:tcPr>
          <w:p>
            <w:pPr>
              <w:pStyle w:val="8"/>
              <w:keepNext/>
              <w:spacing w:after="0" w:line="440" w:lineRule="exact"/>
              <w:ind w:left="63" w:right="63"/>
              <w:rPr>
                <w:rFonts w:ascii="宋体" w:hAnsi="宋体" w:cs="宋体"/>
                <w:color w:val="auto"/>
                <w:szCs w:val="21"/>
                <w:highlight w:val="none"/>
              </w:rPr>
            </w:pPr>
          </w:p>
        </w:tc>
        <w:tc>
          <w:tcPr>
            <w:tcW w:w="1417" w:type="dxa"/>
            <w:vAlign w:val="center"/>
          </w:tcPr>
          <w:p>
            <w:pPr>
              <w:pStyle w:val="8"/>
              <w:keepNext/>
              <w:spacing w:after="0" w:line="440" w:lineRule="exact"/>
              <w:ind w:left="63" w:right="63"/>
              <w:rPr>
                <w:rFonts w:ascii="宋体" w:hAnsi="宋体" w:cs="宋体"/>
                <w:color w:val="auto"/>
                <w:szCs w:val="21"/>
                <w:highlight w:val="none"/>
              </w:rPr>
            </w:pPr>
          </w:p>
        </w:tc>
        <w:tc>
          <w:tcPr>
            <w:tcW w:w="2410"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560" w:type="dxa"/>
            <w:vAlign w:val="center"/>
          </w:tcPr>
          <w:p>
            <w:pPr>
              <w:pStyle w:val="8"/>
              <w:keepNext/>
              <w:spacing w:after="0" w:line="440" w:lineRule="exact"/>
              <w:ind w:left="63" w:right="63"/>
              <w:rPr>
                <w:rFonts w:ascii="宋体" w:hAnsi="宋体" w:cs="宋体"/>
                <w:color w:val="auto"/>
                <w:szCs w:val="21"/>
                <w:highlight w:val="none"/>
              </w:rPr>
            </w:pPr>
          </w:p>
        </w:tc>
        <w:tc>
          <w:tcPr>
            <w:tcW w:w="2126" w:type="dxa"/>
            <w:vAlign w:val="center"/>
          </w:tcPr>
          <w:p>
            <w:pPr>
              <w:pStyle w:val="8"/>
              <w:keepNext/>
              <w:spacing w:after="0" w:line="440" w:lineRule="exact"/>
              <w:ind w:left="63" w:right="63"/>
              <w:rPr>
                <w:rFonts w:ascii="宋体" w:hAnsi="宋体" w:cs="宋体"/>
                <w:color w:val="auto"/>
                <w:szCs w:val="21"/>
                <w:highlight w:val="none"/>
              </w:rPr>
            </w:pPr>
          </w:p>
        </w:tc>
        <w:tc>
          <w:tcPr>
            <w:tcW w:w="1417"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843"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41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56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126"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843"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41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56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126"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vAlign w:val="center"/>
          </w:tcPr>
          <w:p>
            <w:pPr>
              <w:pStyle w:val="8"/>
              <w:keepNext/>
              <w:spacing w:after="0" w:line="440" w:lineRule="exact"/>
              <w:ind w:left="63" w:right="63"/>
              <w:rPr>
                <w:rFonts w:ascii="宋体" w:hAnsi="宋体" w:cs="宋体"/>
                <w:color w:val="auto"/>
                <w:szCs w:val="21"/>
                <w:highlight w:val="none"/>
              </w:rPr>
            </w:pPr>
          </w:p>
        </w:tc>
        <w:tc>
          <w:tcPr>
            <w:tcW w:w="1843" w:type="dxa"/>
            <w:vAlign w:val="center"/>
          </w:tcPr>
          <w:p>
            <w:pPr>
              <w:pStyle w:val="8"/>
              <w:keepNext/>
              <w:spacing w:after="0" w:line="440" w:lineRule="exact"/>
              <w:ind w:left="63" w:right="63"/>
              <w:rPr>
                <w:rFonts w:ascii="宋体" w:hAnsi="宋体" w:cs="宋体"/>
                <w:color w:val="auto"/>
                <w:szCs w:val="21"/>
                <w:highlight w:val="none"/>
              </w:rPr>
            </w:pPr>
          </w:p>
        </w:tc>
        <w:tc>
          <w:tcPr>
            <w:tcW w:w="1417" w:type="dxa"/>
            <w:vAlign w:val="center"/>
          </w:tcPr>
          <w:p>
            <w:pPr>
              <w:pStyle w:val="8"/>
              <w:keepNext/>
              <w:spacing w:after="0" w:line="440" w:lineRule="exact"/>
              <w:ind w:left="63" w:right="63"/>
              <w:rPr>
                <w:rFonts w:ascii="宋体" w:hAnsi="宋体" w:cs="宋体"/>
                <w:color w:val="auto"/>
                <w:szCs w:val="21"/>
                <w:highlight w:val="none"/>
              </w:rPr>
            </w:pPr>
          </w:p>
        </w:tc>
        <w:tc>
          <w:tcPr>
            <w:tcW w:w="2410"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560" w:type="dxa"/>
            <w:vAlign w:val="center"/>
          </w:tcPr>
          <w:p>
            <w:pPr>
              <w:pStyle w:val="8"/>
              <w:keepNext/>
              <w:spacing w:after="0" w:line="440" w:lineRule="exact"/>
              <w:ind w:left="63" w:right="63"/>
              <w:rPr>
                <w:rFonts w:ascii="宋体" w:hAnsi="宋体" w:cs="宋体"/>
                <w:color w:val="auto"/>
                <w:szCs w:val="21"/>
                <w:highlight w:val="none"/>
              </w:rPr>
            </w:pPr>
          </w:p>
        </w:tc>
        <w:tc>
          <w:tcPr>
            <w:tcW w:w="2126" w:type="dxa"/>
            <w:vAlign w:val="center"/>
          </w:tcPr>
          <w:p>
            <w:pPr>
              <w:pStyle w:val="8"/>
              <w:keepNext/>
              <w:spacing w:after="0" w:line="440" w:lineRule="exact"/>
              <w:ind w:left="63" w:right="63"/>
              <w:rPr>
                <w:rFonts w:ascii="宋体" w:hAnsi="宋体" w:cs="宋体"/>
                <w:color w:val="auto"/>
                <w:szCs w:val="21"/>
                <w:highlight w:val="none"/>
              </w:rPr>
            </w:pPr>
          </w:p>
        </w:tc>
        <w:tc>
          <w:tcPr>
            <w:tcW w:w="1417"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843"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41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56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2126"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trPr>
        <w:tc>
          <w:tcPr>
            <w:tcW w:w="1277" w:type="dxa"/>
            <w:vAlign w:val="center"/>
          </w:tcPr>
          <w:p>
            <w:pPr>
              <w:pStyle w:val="8"/>
              <w:keepNext/>
              <w:spacing w:after="0" w:line="440" w:lineRule="exact"/>
              <w:ind w:left="63" w:right="63"/>
              <w:rPr>
                <w:rFonts w:ascii="宋体" w:hAnsi="宋体" w:cs="宋体"/>
                <w:color w:val="auto"/>
                <w:szCs w:val="21"/>
                <w:highlight w:val="none"/>
              </w:rPr>
            </w:pPr>
          </w:p>
        </w:tc>
        <w:tc>
          <w:tcPr>
            <w:tcW w:w="1843" w:type="dxa"/>
            <w:vAlign w:val="center"/>
          </w:tcPr>
          <w:p>
            <w:pPr>
              <w:pStyle w:val="8"/>
              <w:keepNext/>
              <w:spacing w:after="0" w:line="440" w:lineRule="exact"/>
              <w:ind w:left="63" w:right="63"/>
              <w:rPr>
                <w:rFonts w:ascii="宋体" w:hAnsi="宋体" w:cs="宋体"/>
                <w:color w:val="auto"/>
                <w:szCs w:val="21"/>
                <w:highlight w:val="none"/>
              </w:rPr>
            </w:pPr>
          </w:p>
        </w:tc>
        <w:tc>
          <w:tcPr>
            <w:tcW w:w="1417" w:type="dxa"/>
            <w:vAlign w:val="center"/>
          </w:tcPr>
          <w:p>
            <w:pPr>
              <w:pStyle w:val="8"/>
              <w:keepNext/>
              <w:spacing w:after="0" w:line="440" w:lineRule="exact"/>
              <w:ind w:left="63" w:right="63"/>
              <w:rPr>
                <w:rFonts w:ascii="宋体" w:hAnsi="宋体" w:cs="宋体"/>
                <w:color w:val="auto"/>
                <w:szCs w:val="21"/>
                <w:highlight w:val="none"/>
              </w:rPr>
            </w:pPr>
          </w:p>
        </w:tc>
        <w:tc>
          <w:tcPr>
            <w:tcW w:w="2410"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560" w:type="dxa"/>
            <w:vAlign w:val="center"/>
          </w:tcPr>
          <w:p>
            <w:pPr>
              <w:pStyle w:val="8"/>
              <w:keepNext/>
              <w:spacing w:after="0" w:line="440" w:lineRule="exact"/>
              <w:ind w:left="63" w:right="63"/>
              <w:rPr>
                <w:rFonts w:ascii="宋体" w:hAnsi="宋体" w:cs="宋体"/>
                <w:color w:val="auto"/>
                <w:szCs w:val="21"/>
                <w:highlight w:val="none"/>
              </w:rPr>
            </w:pPr>
          </w:p>
        </w:tc>
        <w:tc>
          <w:tcPr>
            <w:tcW w:w="2126" w:type="dxa"/>
            <w:vAlign w:val="center"/>
          </w:tcPr>
          <w:p>
            <w:pPr>
              <w:pStyle w:val="8"/>
              <w:keepNext/>
              <w:spacing w:after="0" w:line="440" w:lineRule="exact"/>
              <w:ind w:left="63" w:right="63"/>
              <w:rPr>
                <w:rFonts w:ascii="宋体" w:hAnsi="宋体" w:cs="宋体"/>
                <w:color w:val="auto"/>
                <w:szCs w:val="21"/>
                <w:highlight w:val="none"/>
              </w:rPr>
            </w:pPr>
          </w:p>
        </w:tc>
        <w:tc>
          <w:tcPr>
            <w:tcW w:w="1417"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r>
    </w:tbl>
    <w:p>
      <w:pPr>
        <w:spacing w:line="440" w:lineRule="exact"/>
        <w:rPr>
          <w:rFonts w:ascii="宋体" w:hAnsi="宋体" w:cs="宋体"/>
          <w:b/>
          <w:color w:val="auto"/>
          <w:szCs w:val="21"/>
          <w:highlight w:val="none"/>
        </w:rPr>
        <w:sectPr>
          <w:pgSz w:w="16838" w:h="11906" w:orient="landscape"/>
          <w:pgMar w:top="1554" w:right="1418" w:bottom="1531" w:left="1418" w:header="851" w:footer="992" w:gutter="0"/>
          <w:pgNumType w:fmt="decimal"/>
          <w:cols w:space="720" w:num="1"/>
          <w:titlePg/>
          <w:docGrid w:type="linesAndChars" w:linePitch="312" w:charSpace="0"/>
        </w:sectPr>
      </w:pPr>
    </w:p>
    <w:p>
      <w:pPr>
        <w:spacing w:line="440" w:lineRule="exact"/>
        <w:rPr>
          <w:rFonts w:ascii="宋体" w:hAnsi="宋体" w:cs="宋体"/>
          <w:color w:val="auto"/>
          <w:szCs w:val="21"/>
          <w:highlight w:val="none"/>
        </w:rPr>
      </w:pPr>
      <w:r>
        <w:rPr>
          <w:rFonts w:hint="eastAsia" w:ascii="宋体" w:hAnsi="宋体" w:cs="宋体"/>
          <w:color w:val="auto"/>
          <w:szCs w:val="21"/>
          <w:highlight w:val="none"/>
        </w:rPr>
        <w:t>附</w:t>
      </w:r>
      <w:bookmarkStart w:id="2524" w:name="_Toc296346726"/>
      <w:bookmarkStart w:id="2525" w:name="_Toc296503225"/>
      <w:bookmarkStart w:id="2526" w:name="_Toc296347224"/>
      <w:bookmarkStart w:id="2527" w:name="_Toc296944564"/>
      <w:bookmarkStart w:id="2528" w:name="_Toc296891053"/>
      <w:bookmarkStart w:id="2529" w:name="_Toc296891265"/>
      <w:bookmarkStart w:id="2530" w:name="_Toc267261692"/>
      <w:r>
        <w:rPr>
          <w:rFonts w:hint="eastAsia" w:ascii="宋体" w:hAnsi="宋体" w:cs="宋体"/>
          <w:color w:val="auto"/>
          <w:szCs w:val="21"/>
          <w:highlight w:val="none"/>
        </w:rPr>
        <w:t>件2：</w:t>
      </w:r>
    </w:p>
    <w:bookmarkEnd w:id="2524"/>
    <w:bookmarkEnd w:id="2525"/>
    <w:bookmarkEnd w:id="2526"/>
    <w:bookmarkEnd w:id="2527"/>
    <w:bookmarkEnd w:id="2528"/>
    <w:bookmarkEnd w:id="2529"/>
    <w:bookmarkEnd w:id="2530"/>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发包人供应材料设备一览表</w:t>
      </w:r>
    </w:p>
    <w:tbl>
      <w:tblPr>
        <w:tblStyle w:val="28"/>
        <w:tblW w:w="1070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51"/>
        <w:gridCol w:w="1276"/>
        <w:gridCol w:w="1418"/>
        <w:gridCol w:w="940"/>
        <w:gridCol w:w="851"/>
        <w:gridCol w:w="1044"/>
        <w:gridCol w:w="992"/>
        <w:gridCol w:w="851"/>
        <w:gridCol w:w="1487"/>
        <w:gridCol w:w="9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851"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序号</w:t>
            </w:r>
          </w:p>
        </w:tc>
        <w:tc>
          <w:tcPr>
            <w:tcW w:w="1276"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 xml:space="preserve">  材料、</w:t>
            </w:r>
          </w:p>
          <w:p>
            <w:pPr>
              <w:pStyle w:val="8"/>
              <w:keepNext/>
              <w:spacing w:after="0" w:line="440" w:lineRule="exact"/>
              <w:ind w:right="63"/>
              <w:rPr>
                <w:rFonts w:ascii="宋体" w:hAnsi="宋体" w:cs="宋体"/>
                <w:color w:val="auto"/>
                <w:szCs w:val="21"/>
                <w:highlight w:val="none"/>
              </w:rPr>
            </w:pPr>
            <w:r>
              <w:rPr>
                <w:rFonts w:hint="eastAsia" w:ascii="宋体" w:hAnsi="宋体" w:cs="宋体"/>
                <w:color w:val="auto"/>
                <w:szCs w:val="21"/>
                <w:highlight w:val="none"/>
              </w:rPr>
              <w:t>设备品种</w:t>
            </w:r>
          </w:p>
        </w:tc>
        <w:tc>
          <w:tcPr>
            <w:tcW w:w="1418"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规格型号</w:t>
            </w:r>
          </w:p>
        </w:tc>
        <w:tc>
          <w:tcPr>
            <w:tcW w:w="94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单位</w:t>
            </w:r>
          </w:p>
        </w:tc>
        <w:tc>
          <w:tcPr>
            <w:tcW w:w="851"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数量</w:t>
            </w:r>
          </w:p>
        </w:tc>
        <w:tc>
          <w:tcPr>
            <w:tcW w:w="1044"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单价（元）</w:t>
            </w:r>
          </w:p>
        </w:tc>
        <w:tc>
          <w:tcPr>
            <w:tcW w:w="992"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质量等级</w:t>
            </w:r>
          </w:p>
        </w:tc>
        <w:tc>
          <w:tcPr>
            <w:tcW w:w="851"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供应时间</w:t>
            </w:r>
          </w:p>
        </w:tc>
        <w:tc>
          <w:tcPr>
            <w:tcW w:w="1487"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送达地点</w:t>
            </w:r>
          </w:p>
        </w:tc>
        <w:tc>
          <w:tcPr>
            <w:tcW w:w="992"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276"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18"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94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044"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992"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87"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992"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276"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8"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94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044"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992"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8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992"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940"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044"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487"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940"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044"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487"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940"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044"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487"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940"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044"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487"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940"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044"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487"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940"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044"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487"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940"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044"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c>
          <w:tcPr>
            <w:tcW w:w="851" w:type="dxa"/>
            <w:vAlign w:val="center"/>
          </w:tcPr>
          <w:p>
            <w:pPr>
              <w:pStyle w:val="8"/>
              <w:keepNext/>
              <w:spacing w:after="0" w:line="440" w:lineRule="exact"/>
              <w:ind w:left="63" w:right="63"/>
              <w:rPr>
                <w:rFonts w:ascii="宋体" w:hAnsi="宋体" w:cs="宋体"/>
                <w:color w:val="auto"/>
                <w:szCs w:val="21"/>
                <w:highlight w:val="none"/>
              </w:rPr>
            </w:pPr>
          </w:p>
        </w:tc>
        <w:tc>
          <w:tcPr>
            <w:tcW w:w="1487" w:type="dxa"/>
            <w:vAlign w:val="center"/>
          </w:tcPr>
          <w:p>
            <w:pPr>
              <w:pStyle w:val="8"/>
              <w:keepNext/>
              <w:spacing w:after="0" w:line="440" w:lineRule="exact"/>
              <w:ind w:left="63" w:right="63"/>
              <w:rPr>
                <w:rFonts w:ascii="宋体" w:hAnsi="宋体" w:cs="宋体"/>
                <w:color w:val="auto"/>
                <w:szCs w:val="21"/>
                <w:highlight w:val="none"/>
              </w:rPr>
            </w:pPr>
          </w:p>
        </w:tc>
        <w:tc>
          <w:tcPr>
            <w:tcW w:w="99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s="宋体"/>
                <w:color w:val="auto"/>
                <w:szCs w:val="21"/>
                <w:highlight w:val="none"/>
              </w:rPr>
            </w:pPr>
          </w:p>
        </w:tc>
        <w:tc>
          <w:tcPr>
            <w:tcW w:w="1276" w:type="dxa"/>
            <w:vAlign w:val="center"/>
          </w:tcPr>
          <w:p>
            <w:pPr>
              <w:jc w:val="center"/>
              <w:rPr>
                <w:rFonts w:ascii="宋体" w:hAnsi="宋体" w:cs="宋体"/>
                <w:color w:val="auto"/>
                <w:szCs w:val="21"/>
                <w:highlight w:val="none"/>
              </w:rPr>
            </w:pPr>
          </w:p>
        </w:tc>
        <w:tc>
          <w:tcPr>
            <w:tcW w:w="1418" w:type="dxa"/>
            <w:vAlign w:val="center"/>
          </w:tcPr>
          <w:p>
            <w:pPr>
              <w:jc w:val="center"/>
              <w:rPr>
                <w:rFonts w:ascii="宋体" w:hAnsi="宋体" w:cs="宋体"/>
                <w:color w:val="auto"/>
                <w:szCs w:val="21"/>
                <w:highlight w:val="none"/>
              </w:rPr>
            </w:pPr>
          </w:p>
        </w:tc>
        <w:tc>
          <w:tcPr>
            <w:tcW w:w="940"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044"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c>
          <w:tcPr>
            <w:tcW w:w="851" w:type="dxa"/>
            <w:vAlign w:val="center"/>
          </w:tcPr>
          <w:p>
            <w:pPr>
              <w:jc w:val="center"/>
              <w:rPr>
                <w:rFonts w:ascii="宋体" w:hAnsi="宋体" w:cs="宋体"/>
                <w:color w:val="auto"/>
                <w:szCs w:val="21"/>
                <w:highlight w:val="none"/>
              </w:rPr>
            </w:pPr>
          </w:p>
        </w:tc>
        <w:tc>
          <w:tcPr>
            <w:tcW w:w="1487" w:type="dxa"/>
            <w:vAlign w:val="center"/>
          </w:tcPr>
          <w:p>
            <w:pPr>
              <w:jc w:val="center"/>
              <w:rPr>
                <w:rFonts w:ascii="宋体" w:hAnsi="宋体" w:cs="宋体"/>
                <w:color w:val="auto"/>
                <w:szCs w:val="21"/>
                <w:highlight w:val="none"/>
              </w:rPr>
            </w:pPr>
          </w:p>
        </w:tc>
        <w:tc>
          <w:tcPr>
            <w:tcW w:w="992" w:type="dxa"/>
            <w:vAlign w:val="center"/>
          </w:tcPr>
          <w:p>
            <w:pPr>
              <w:jc w:val="center"/>
              <w:rPr>
                <w:rFonts w:ascii="宋体" w:hAnsi="宋体" w:cs="宋体"/>
                <w:color w:val="auto"/>
                <w:szCs w:val="21"/>
                <w:highlight w:val="none"/>
              </w:rPr>
            </w:pPr>
          </w:p>
        </w:tc>
      </w:tr>
    </w:tbl>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r>
        <w:rPr>
          <w:rFonts w:hint="eastAsia" w:ascii="宋体" w:hAnsi="宋体" w:cs="宋体"/>
          <w:color w:val="auto"/>
          <w:szCs w:val="21"/>
          <w:highlight w:val="none"/>
        </w:rPr>
        <w:t>附</w:t>
      </w:r>
      <w:bookmarkStart w:id="2531" w:name="_Toc296347225"/>
      <w:bookmarkStart w:id="2532" w:name="_Toc296503226"/>
      <w:bookmarkStart w:id="2533" w:name="_Toc267261693"/>
      <w:bookmarkStart w:id="2534" w:name="_Toc296944565"/>
      <w:bookmarkStart w:id="2535" w:name="_Toc296891266"/>
      <w:bookmarkStart w:id="2536" w:name="_Toc296891054"/>
      <w:bookmarkStart w:id="2537" w:name="_Toc296346727"/>
      <w:r>
        <w:rPr>
          <w:rFonts w:hint="eastAsia" w:ascii="宋体" w:hAnsi="宋体" w:cs="宋体"/>
          <w:color w:val="auto"/>
          <w:szCs w:val="21"/>
          <w:highlight w:val="none"/>
        </w:rPr>
        <w:t>件3：</w:t>
      </w:r>
      <w:bookmarkEnd w:id="2531"/>
      <w:bookmarkEnd w:id="2532"/>
      <w:bookmarkEnd w:id="2533"/>
      <w:bookmarkEnd w:id="2534"/>
      <w:bookmarkEnd w:id="2535"/>
      <w:bookmarkEnd w:id="2536"/>
      <w:bookmarkEnd w:id="2537"/>
    </w:p>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高标准农田建设工程质量保修书</w:t>
      </w:r>
    </w:p>
    <w:p>
      <w:pPr>
        <w:spacing w:line="320" w:lineRule="exact"/>
        <w:jc w:val="center"/>
        <w:rPr>
          <w:rFonts w:ascii="黑体" w:hAnsi="宋体" w:eastAsia="黑体"/>
          <w:color w:val="auto"/>
          <w:sz w:val="24"/>
          <w:highlight w:val="none"/>
        </w:rPr>
      </w:pPr>
    </w:p>
    <w:p>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发包人：</w:t>
      </w:r>
    </w:p>
    <w:p>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承包人：</w:t>
      </w:r>
    </w:p>
    <w:p>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发包人、承包人根据《建设工程质量管理条例》和</w:t>
      </w:r>
      <w:r>
        <w:rPr>
          <w:rFonts w:hint="eastAsia"/>
          <w:color w:val="auto"/>
          <w:szCs w:val="21"/>
          <w:highlight w:val="none"/>
        </w:rPr>
        <w:t>《高标准农田建设通则》</w:t>
      </w:r>
      <w:r>
        <w:rPr>
          <w:rFonts w:hint="eastAsia" w:ascii="宋体" w:hAnsi="宋体"/>
          <w:color w:val="auto"/>
          <w:szCs w:val="21"/>
          <w:highlight w:val="none"/>
        </w:rPr>
        <w:t>，经协商一致，对(工程名称)_______</w:t>
      </w:r>
      <w:r>
        <w:rPr>
          <w:rFonts w:hint="eastAsia" w:ascii="宋体" w:hAnsi="宋体"/>
          <w:color w:val="auto"/>
          <w:szCs w:val="21"/>
          <w:highlight w:val="none"/>
          <w:lang w:eastAsia="zh-CN"/>
        </w:rPr>
        <w:t>项目</w:t>
      </w:r>
      <w:r>
        <w:rPr>
          <w:rFonts w:hint="eastAsia" w:ascii="宋体" w:hAnsi="宋体"/>
          <w:color w:val="auto"/>
          <w:szCs w:val="21"/>
          <w:highlight w:val="none"/>
        </w:rPr>
        <w:t>签订保修书。</w:t>
      </w:r>
    </w:p>
    <w:p>
      <w:pPr>
        <w:spacing w:line="360" w:lineRule="exact"/>
        <w:ind w:firstLine="420" w:firstLineChars="200"/>
        <w:outlineLvl w:val="9"/>
        <w:rPr>
          <w:rFonts w:ascii="宋体" w:hAnsi="宋体" w:cs="宋体"/>
          <w:color w:val="auto"/>
          <w:highlight w:val="none"/>
        </w:rPr>
      </w:pPr>
      <w:bookmarkStart w:id="2538" w:name="_Toc433399487"/>
      <w:bookmarkStart w:id="2539" w:name="_Toc469492608"/>
      <w:bookmarkStart w:id="2540" w:name="_Toc432378421"/>
      <w:bookmarkStart w:id="2541" w:name="_Toc109149887"/>
      <w:bookmarkStart w:id="2542" w:name="_Toc524949129"/>
      <w:bookmarkStart w:id="2543" w:name="_Toc456647829"/>
      <w:bookmarkStart w:id="2544" w:name="_Toc519361723"/>
      <w:bookmarkStart w:id="2545" w:name="_Toc432082972"/>
      <w:bookmarkStart w:id="2546" w:name="_Toc16274"/>
      <w:r>
        <w:rPr>
          <w:rFonts w:hint="eastAsia" w:ascii="宋体" w:hAnsi="宋体" w:cs="宋体"/>
          <w:color w:val="auto"/>
          <w:highlight w:val="none"/>
        </w:rPr>
        <w:t>一、工程保修范围和内容</w:t>
      </w:r>
      <w:bookmarkEnd w:id="2538"/>
      <w:bookmarkEnd w:id="2539"/>
      <w:bookmarkEnd w:id="2540"/>
      <w:bookmarkEnd w:id="2541"/>
      <w:bookmarkEnd w:id="2542"/>
      <w:bookmarkEnd w:id="2543"/>
      <w:bookmarkEnd w:id="2544"/>
      <w:bookmarkEnd w:id="2545"/>
      <w:bookmarkEnd w:id="2546"/>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承包人在保修期内，按照有关法律、法规、规章的管理规定和双方约定，承担本工程保修责任。</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保修责任范围包括（承包人名称）承建</w:t>
      </w:r>
      <w:r>
        <w:rPr>
          <w:rFonts w:ascii="宋体" w:hAnsi="宋体"/>
          <w:color w:val="auto"/>
          <w:szCs w:val="21"/>
          <w:highlight w:val="none"/>
        </w:rPr>
        <w:t>的</w:t>
      </w:r>
      <w:r>
        <w:rPr>
          <w:rFonts w:hint="eastAsia" w:ascii="宋体" w:hAnsi="宋体" w:cs="宋体"/>
          <w:color w:val="auto"/>
          <w:szCs w:val="21"/>
          <w:highlight w:val="none"/>
        </w:rPr>
        <w:t>高标准农田建设工程体系中的永久性建筑物、构筑物，含有：水源工程、输水工程、微喷灌工程、排水工程、渠系建筑物工程、泵站工程、田间道路工程、农田林网工程、岸坡防护工程、沟道治理工程、坡面防护工程、农田输配电工程</w:t>
      </w:r>
      <w:r>
        <w:rPr>
          <w:rFonts w:hint="eastAsia" w:ascii="宋体" w:hAnsi="宋体"/>
          <w:color w:val="auto"/>
          <w:szCs w:val="21"/>
          <w:highlight w:val="none"/>
        </w:rPr>
        <w:t>等以及双方约定的其他项目。具体保修的内容，双方约定如下：。</w:t>
      </w:r>
    </w:p>
    <w:p>
      <w:pPr>
        <w:spacing w:line="360" w:lineRule="exact"/>
        <w:ind w:firstLine="420" w:firstLineChars="200"/>
        <w:outlineLvl w:val="9"/>
        <w:rPr>
          <w:rFonts w:ascii="宋体" w:hAnsi="宋体" w:cs="宋体"/>
          <w:color w:val="auto"/>
          <w:highlight w:val="none"/>
        </w:rPr>
      </w:pPr>
      <w:bookmarkStart w:id="2547" w:name="_Toc241"/>
      <w:bookmarkStart w:id="2548" w:name="_Toc456647830"/>
      <w:bookmarkStart w:id="2549" w:name="_Toc519361724"/>
      <w:bookmarkStart w:id="2550" w:name="_Toc432082973"/>
      <w:bookmarkStart w:id="2551" w:name="_Toc524949130"/>
      <w:bookmarkStart w:id="2552" w:name="_Toc469492609"/>
      <w:bookmarkStart w:id="2553" w:name="_Toc433399488"/>
      <w:bookmarkStart w:id="2554" w:name="_Toc109149888"/>
      <w:bookmarkStart w:id="2555" w:name="_Toc432378422"/>
      <w:r>
        <w:rPr>
          <w:rFonts w:hint="eastAsia" w:ascii="宋体" w:hAnsi="宋体" w:cs="宋体"/>
          <w:color w:val="auto"/>
          <w:highlight w:val="none"/>
        </w:rPr>
        <w:t>二、保修期</w:t>
      </w:r>
      <w:bookmarkEnd w:id="2547"/>
      <w:bookmarkEnd w:id="2548"/>
      <w:bookmarkEnd w:id="2549"/>
      <w:bookmarkEnd w:id="2550"/>
      <w:bookmarkEnd w:id="2551"/>
      <w:bookmarkEnd w:id="2552"/>
      <w:bookmarkEnd w:id="2553"/>
      <w:bookmarkEnd w:id="2554"/>
      <w:bookmarkEnd w:id="2555"/>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双方根据合同及有关规定，约定本工程的保修期如下：</w:t>
      </w:r>
    </w:p>
    <w:p>
      <w:pPr>
        <w:spacing w:line="360" w:lineRule="exact"/>
        <w:ind w:firstLine="420" w:firstLineChars="200"/>
        <w:outlineLvl w:val="9"/>
        <w:rPr>
          <w:rFonts w:hint="eastAsia" w:ascii="宋体" w:hAnsi="宋体"/>
          <w:color w:val="auto"/>
          <w:szCs w:val="21"/>
          <w:highlight w:val="none"/>
          <w:u w:val="single"/>
        </w:rPr>
      </w:pPr>
      <w:r>
        <w:rPr>
          <w:rFonts w:hint="eastAsia" w:ascii="宋体" w:hAnsi="宋体"/>
          <w:color w:val="auto"/>
          <w:szCs w:val="21"/>
          <w:highlight w:val="none"/>
          <w:u w:val="single"/>
        </w:rPr>
        <w:t xml:space="preserve">            以</w:t>
      </w:r>
      <w:r>
        <w:rPr>
          <w:rFonts w:hint="eastAsia" w:ascii="宋体" w:hAnsi="宋体"/>
          <w:color w:val="auto"/>
          <w:szCs w:val="21"/>
          <w:highlight w:val="none"/>
          <w:u w:val="single"/>
          <w:lang w:eastAsia="zh-CN"/>
        </w:rPr>
        <w:t>通过竣工验收之日</w:t>
      </w:r>
      <w:r>
        <w:rPr>
          <w:rFonts w:hint="eastAsia" w:ascii="宋体" w:hAnsi="宋体"/>
          <w:color w:val="auto"/>
          <w:szCs w:val="21"/>
          <w:highlight w:val="none"/>
          <w:u w:val="single"/>
        </w:rPr>
        <w:t>起</w:t>
      </w:r>
      <w:r>
        <w:rPr>
          <w:rFonts w:hint="eastAsia" w:ascii="宋体" w:hAnsi="宋体"/>
          <w:color w:val="auto"/>
          <w:szCs w:val="21"/>
          <w:highlight w:val="none"/>
          <w:u w:val="single"/>
          <w:lang w:eastAsia="zh-CN"/>
        </w:rPr>
        <w:t>起</w:t>
      </w:r>
      <w:r>
        <w:rPr>
          <w:rFonts w:hint="eastAsia" w:ascii="宋体" w:hAnsi="宋体"/>
          <w:color w:val="auto"/>
          <w:szCs w:val="21"/>
          <w:highlight w:val="none"/>
          <w:u w:val="single"/>
        </w:rPr>
        <w:t xml:space="preserve">算，从   年   月    日至    年   月    日。     </w:t>
      </w:r>
      <w:bookmarkStart w:id="2556" w:name="_Toc432082974"/>
      <w:bookmarkStart w:id="2557" w:name="_Toc456647831"/>
      <w:bookmarkStart w:id="2558" w:name="_Toc3856"/>
      <w:bookmarkStart w:id="2559" w:name="_Toc519361725"/>
      <w:bookmarkStart w:id="2560" w:name="_Toc433399489"/>
      <w:bookmarkStart w:id="2561" w:name="_Toc524949131"/>
      <w:bookmarkStart w:id="2562" w:name="_Toc109149889"/>
      <w:bookmarkStart w:id="2563" w:name="_Toc469492610"/>
      <w:bookmarkStart w:id="2564" w:name="_Toc432378423"/>
    </w:p>
    <w:p>
      <w:pPr>
        <w:spacing w:line="360" w:lineRule="exact"/>
        <w:ind w:firstLine="420" w:firstLineChars="200"/>
        <w:outlineLvl w:val="9"/>
        <w:rPr>
          <w:rFonts w:ascii="宋体" w:hAnsi="宋体" w:cs="宋体"/>
          <w:color w:val="auto"/>
          <w:highlight w:val="none"/>
        </w:rPr>
      </w:pPr>
      <w:r>
        <w:rPr>
          <w:rFonts w:hint="eastAsia" w:ascii="宋体" w:hAnsi="宋体" w:cs="宋体"/>
          <w:color w:val="auto"/>
          <w:highlight w:val="none"/>
        </w:rPr>
        <w:t>三、保修责任</w:t>
      </w:r>
      <w:bookmarkEnd w:id="2556"/>
      <w:bookmarkEnd w:id="2557"/>
      <w:bookmarkEnd w:id="2558"/>
      <w:bookmarkEnd w:id="2559"/>
      <w:bookmarkEnd w:id="2560"/>
      <w:bookmarkEnd w:id="2561"/>
      <w:bookmarkEnd w:id="2562"/>
      <w:bookmarkEnd w:id="2563"/>
      <w:bookmarkEnd w:id="2564"/>
    </w:p>
    <w:p>
      <w:pPr>
        <w:spacing w:line="360" w:lineRule="exact"/>
        <w:ind w:firstLine="420" w:firstLineChars="200"/>
        <w:outlineLvl w:val="9"/>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、属于责任范围、内容的项目，承包人应当在接到保修通知之日起</w:t>
      </w:r>
      <w:r>
        <w:rPr>
          <w:rFonts w:hint="eastAsia"/>
          <w:color w:val="auto"/>
          <w:szCs w:val="21"/>
          <w:highlight w:val="none"/>
        </w:rPr>
        <w:t>7</w:t>
      </w:r>
      <w:r>
        <w:rPr>
          <w:rFonts w:hint="eastAsia" w:ascii="宋体" w:hAnsi="宋体"/>
          <w:color w:val="auto"/>
          <w:szCs w:val="21"/>
          <w:highlight w:val="none"/>
        </w:rPr>
        <w:t>天内派人保修。承包人不在约定期限内派人保修的，发包人可以委托他人修理。</w:t>
      </w:r>
    </w:p>
    <w:p>
      <w:pPr>
        <w:spacing w:line="360" w:lineRule="exact"/>
        <w:ind w:firstLine="420" w:firstLineChars="200"/>
        <w:outlineLvl w:val="9"/>
        <w:rPr>
          <w:rFonts w:ascii="宋体" w:hAnsi="宋体"/>
          <w:color w:val="auto"/>
          <w:szCs w:val="21"/>
          <w:highlight w:val="none"/>
        </w:rPr>
      </w:pPr>
      <w:r>
        <w:rPr>
          <w:rFonts w:hint="eastAsia"/>
          <w:color w:val="auto"/>
          <w:szCs w:val="21"/>
          <w:highlight w:val="none"/>
        </w:rPr>
        <w:t>2</w:t>
      </w:r>
      <w:r>
        <w:rPr>
          <w:rFonts w:hint="eastAsia" w:ascii="宋体" w:hAnsi="宋体"/>
          <w:color w:val="auto"/>
          <w:szCs w:val="21"/>
          <w:highlight w:val="none"/>
        </w:rPr>
        <w:t>、发生紧急抢修事故的，承包人在接到事故通知后，应当立即到达事故现场抢修。</w:t>
      </w:r>
    </w:p>
    <w:p>
      <w:pPr>
        <w:spacing w:line="360" w:lineRule="exact"/>
        <w:ind w:firstLine="420" w:firstLineChars="200"/>
        <w:outlineLvl w:val="9"/>
        <w:rPr>
          <w:rFonts w:ascii="宋体" w:hAnsi="宋体"/>
          <w:color w:val="auto"/>
          <w:szCs w:val="21"/>
          <w:highlight w:val="none"/>
        </w:rPr>
      </w:pPr>
      <w:r>
        <w:rPr>
          <w:rFonts w:hint="eastAsia"/>
          <w:color w:val="auto"/>
          <w:szCs w:val="21"/>
          <w:highlight w:val="none"/>
        </w:rPr>
        <w:t>3</w:t>
      </w:r>
      <w:r>
        <w:rPr>
          <w:rFonts w:hint="eastAsia" w:ascii="宋体" w:hAnsi="宋体"/>
          <w:color w:val="auto"/>
          <w:szCs w:val="21"/>
          <w:highlight w:val="none"/>
        </w:rPr>
        <w:t>、对于涉及结构安全的质量问题，应当按照有关的规定，立即向当地有关行政主管部门报告，采取安全防范措施；由原设计人或者具有相应资质等级的设计人提出保修方案，承包人实施保修。</w:t>
      </w:r>
    </w:p>
    <w:p>
      <w:pPr>
        <w:spacing w:line="360" w:lineRule="exact"/>
        <w:ind w:firstLine="420" w:firstLineChars="200"/>
        <w:outlineLvl w:val="9"/>
        <w:rPr>
          <w:rFonts w:ascii="宋体" w:hAnsi="宋体"/>
          <w:color w:val="auto"/>
          <w:szCs w:val="21"/>
          <w:highlight w:val="none"/>
        </w:rPr>
      </w:pPr>
      <w:r>
        <w:rPr>
          <w:rFonts w:hint="eastAsia"/>
          <w:color w:val="auto"/>
          <w:szCs w:val="21"/>
          <w:highlight w:val="none"/>
        </w:rPr>
        <w:t>4</w:t>
      </w:r>
      <w:r>
        <w:rPr>
          <w:rFonts w:hint="eastAsia" w:ascii="宋体" w:hAnsi="宋体"/>
          <w:color w:val="auto"/>
          <w:szCs w:val="21"/>
          <w:highlight w:val="none"/>
        </w:rPr>
        <w:t>、质量保修完成后，由发包人组织验收。</w:t>
      </w:r>
    </w:p>
    <w:p>
      <w:pPr>
        <w:spacing w:line="360" w:lineRule="exact"/>
        <w:ind w:firstLine="420" w:firstLineChars="200"/>
        <w:outlineLvl w:val="9"/>
        <w:rPr>
          <w:rFonts w:ascii="宋体" w:hAnsi="宋体" w:cs="宋体"/>
          <w:color w:val="auto"/>
          <w:highlight w:val="none"/>
        </w:rPr>
      </w:pPr>
      <w:bookmarkStart w:id="2565" w:name="_Toc519361726"/>
      <w:bookmarkStart w:id="2566" w:name="_Toc432378424"/>
      <w:bookmarkStart w:id="2567" w:name="_Toc432082975"/>
      <w:bookmarkStart w:id="2568" w:name="_Toc456647832"/>
      <w:bookmarkStart w:id="2569" w:name="_Toc469492611"/>
      <w:bookmarkStart w:id="2570" w:name="_Toc109149890"/>
      <w:bookmarkStart w:id="2571" w:name="_Toc524949132"/>
      <w:bookmarkStart w:id="2572" w:name="_Toc20719"/>
      <w:bookmarkStart w:id="2573" w:name="_Toc433399490"/>
      <w:r>
        <w:rPr>
          <w:rFonts w:hint="eastAsia" w:ascii="宋体" w:hAnsi="宋体" w:cs="宋体"/>
          <w:color w:val="auto"/>
          <w:highlight w:val="none"/>
        </w:rPr>
        <w:t>四、保修费用</w:t>
      </w:r>
      <w:bookmarkEnd w:id="2565"/>
      <w:bookmarkEnd w:id="2566"/>
      <w:bookmarkEnd w:id="2567"/>
      <w:bookmarkEnd w:id="2568"/>
      <w:bookmarkEnd w:id="2569"/>
      <w:bookmarkEnd w:id="2570"/>
      <w:bookmarkEnd w:id="2571"/>
      <w:bookmarkEnd w:id="2572"/>
      <w:bookmarkEnd w:id="2573"/>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保修费用由造成质量缺陷的责任方承担。</w:t>
      </w:r>
    </w:p>
    <w:p>
      <w:pPr>
        <w:spacing w:line="360" w:lineRule="exact"/>
        <w:ind w:firstLine="420" w:firstLineChars="200"/>
        <w:outlineLvl w:val="9"/>
        <w:rPr>
          <w:rFonts w:ascii="宋体" w:hAnsi="宋体" w:cs="宋体"/>
          <w:color w:val="auto"/>
          <w:highlight w:val="none"/>
        </w:rPr>
      </w:pPr>
      <w:bookmarkStart w:id="2574" w:name="_Toc469492612"/>
      <w:bookmarkStart w:id="2575" w:name="_Toc519361727"/>
      <w:bookmarkStart w:id="2576" w:name="_Toc432082976"/>
      <w:bookmarkStart w:id="2577" w:name="_Toc109149891"/>
      <w:bookmarkStart w:id="2578" w:name="_Toc432378425"/>
      <w:bookmarkStart w:id="2579" w:name="_Toc524949133"/>
      <w:bookmarkStart w:id="2580" w:name="_Toc24013"/>
      <w:bookmarkStart w:id="2581" w:name="_Toc433399491"/>
      <w:bookmarkStart w:id="2582" w:name="_Toc456647833"/>
      <w:r>
        <w:rPr>
          <w:rFonts w:hint="eastAsia" w:ascii="宋体" w:hAnsi="宋体" w:cs="宋体"/>
          <w:color w:val="auto"/>
          <w:highlight w:val="none"/>
        </w:rPr>
        <w:t>五、其他</w:t>
      </w:r>
      <w:bookmarkEnd w:id="2574"/>
      <w:bookmarkEnd w:id="2575"/>
      <w:bookmarkEnd w:id="2576"/>
      <w:bookmarkEnd w:id="2577"/>
      <w:bookmarkEnd w:id="2578"/>
      <w:bookmarkEnd w:id="2579"/>
      <w:bookmarkEnd w:id="2580"/>
      <w:bookmarkEnd w:id="2581"/>
      <w:bookmarkEnd w:id="2582"/>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双方约定的其他工程保修责任事项：。</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本工程保修书，由施工合同发包人、承包人双方在竣工验收前共同签署，作为施工合同附件，其有效期限至保修期满。</w:t>
      </w:r>
    </w:p>
    <w:p>
      <w:pPr>
        <w:spacing w:line="360" w:lineRule="exact"/>
        <w:ind w:firstLine="420" w:firstLineChars="200"/>
        <w:outlineLvl w:val="9"/>
        <w:rPr>
          <w:rFonts w:ascii="宋体" w:hAnsi="宋体"/>
          <w:color w:val="auto"/>
          <w:szCs w:val="21"/>
          <w:highlight w:val="none"/>
        </w:rPr>
      </w:pP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发包人：(公章)    承包人： (公章)</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法定地址：          法定地址：</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法定代表人或其                         法定代表人或其</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委托代理人：(签字)    委托代理人： (签字)</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电话：          电话：</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传真：          传真：</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电子邮箱：          电子邮箱：</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开户银行：          开户银行：</w:t>
      </w:r>
    </w:p>
    <w:p>
      <w:pPr>
        <w:spacing w:line="36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帐号：          帐号：</w:t>
      </w:r>
    </w:p>
    <w:p>
      <w:pPr>
        <w:spacing w:line="360" w:lineRule="exact"/>
        <w:ind w:firstLine="420" w:firstLineChars="200"/>
        <w:outlineLvl w:val="9"/>
        <w:rPr>
          <w:rFonts w:ascii="宋体" w:hAnsi="宋体"/>
          <w:color w:val="auto"/>
          <w:szCs w:val="21"/>
          <w:highlight w:val="none"/>
          <w:u w:val="single"/>
        </w:rPr>
      </w:pPr>
      <w:r>
        <w:rPr>
          <w:rFonts w:hint="eastAsia" w:ascii="宋体" w:hAnsi="宋体"/>
          <w:color w:val="auto"/>
          <w:szCs w:val="21"/>
          <w:highlight w:val="none"/>
        </w:rPr>
        <w:t>邮政编码：          邮政编码：</w:t>
      </w:r>
    </w:p>
    <w:p>
      <w:pPr>
        <w:spacing w:line="440" w:lineRule="exact"/>
        <w:outlineLvl w:val="9"/>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rPr>
          <w:rFonts w:hint="eastAsia" w:ascii="宋体" w:hAnsi="宋体" w:cs="宋体"/>
          <w:color w:val="auto"/>
          <w:szCs w:val="21"/>
          <w:highlight w:val="none"/>
        </w:rPr>
      </w:pPr>
      <w:r>
        <w:rPr>
          <w:rFonts w:hint="eastAsia" w:ascii="宋体" w:hAnsi="宋体" w:cs="宋体"/>
          <w:color w:val="auto"/>
          <w:szCs w:val="21"/>
          <w:highlight w:val="none"/>
        </w:rPr>
        <w:br w:type="page"/>
      </w:r>
    </w:p>
    <w:p>
      <w:pPr>
        <w:spacing w:line="440" w:lineRule="exact"/>
        <w:rPr>
          <w:rFonts w:ascii="宋体" w:hAnsi="宋体" w:cs="宋体"/>
          <w:color w:val="auto"/>
          <w:szCs w:val="21"/>
          <w:highlight w:val="none"/>
        </w:rPr>
      </w:pPr>
      <w:r>
        <w:rPr>
          <w:rFonts w:hint="eastAsia" w:ascii="宋体" w:hAnsi="宋体" w:cs="宋体"/>
          <w:color w:val="auto"/>
          <w:szCs w:val="21"/>
          <w:highlight w:val="none"/>
        </w:rPr>
        <w:t>附件4：</w:t>
      </w:r>
    </w:p>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主要建设工程文件目录</w:t>
      </w:r>
    </w:p>
    <w:tbl>
      <w:tblPr>
        <w:tblStyle w:val="28"/>
        <w:tblW w:w="903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953"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文件名称</w:t>
            </w:r>
          </w:p>
        </w:tc>
        <w:tc>
          <w:tcPr>
            <w:tcW w:w="1276"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套数</w:t>
            </w:r>
          </w:p>
        </w:tc>
        <w:tc>
          <w:tcPr>
            <w:tcW w:w="145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费用（元）</w:t>
            </w:r>
          </w:p>
        </w:tc>
        <w:tc>
          <w:tcPr>
            <w:tcW w:w="1243"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质量</w:t>
            </w:r>
          </w:p>
        </w:tc>
        <w:tc>
          <w:tcPr>
            <w:tcW w:w="1450" w:type="dxa"/>
            <w:tcBorders>
              <w:top w:val="single" w:color="auto" w:sz="12" w:space="0"/>
              <w:bottom w:val="double" w:color="auto" w:sz="6" w:space="0"/>
            </w:tcBorders>
          </w:tcPr>
          <w:p>
            <w:pPr>
              <w:spacing w:line="440" w:lineRule="exact"/>
              <w:jc w:val="center"/>
              <w:rPr>
                <w:rFonts w:ascii="宋体" w:hAnsi="宋体" w:cs="宋体"/>
                <w:color w:val="auto"/>
                <w:szCs w:val="21"/>
                <w:highlight w:val="none"/>
              </w:rPr>
            </w:pPr>
            <w:r>
              <w:rPr>
                <w:rFonts w:hint="eastAsia" w:ascii="宋体" w:hAnsi="宋体" w:cs="宋体"/>
                <w:color w:val="auto"/>
                <w:szCs w:val="21"/>
                <w:highlight w:val="none"/>
              </w:rPr>
              <w:t>移交时间</w:t>
            </w:r>
          </w:p>
        </w:tc>
        <w:tc>
          <w:tcPr>
            <w:tcW w:w="1667" w:type="dxa"/>
            <w:tcBorders>
              <w:top w:val="single" w:color="auto" w:sz="12" w:space="0"/>
              <w:bottom w:val="double" w:color="auto" w:sz="6" w:space="0"/>
            </w:tcBorders>
          </w:tcPr>
          <w:p>
            <w:pPr>
              <w:spacing w:line="440" w:lineRule="exact"/>
              <w:jc w:val="center"/>
              <w:rPr>
                <w:rFonts w:ascii="宋体" w:hAnsi="宋体" w:cs="宋体"/>
                <w:color w:val="auto"/>
                <w:szCs w:val="21"/>
                <w:highlight w:val="none"/>
              </w:rPr>
            </w:pPr>
            <w:r>
              <w:rPr>
                <w:rFonts w:hint="eastAsia" w:ascii="宋体" w:hAnsi="宋体" w:cs="宋体"/>
                <w:color w:val="auto"/>
                <w:szCs w:val="21"/>
                <w:highlight w:val="none"/>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276"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5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243"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5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667"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276"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243"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667"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243"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667"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243"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667"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243"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667"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243"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667"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243"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667"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243"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667"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vAlign w:val="center"/>
          </w:tcPr>
          <w:p>
            <w:pPr>
              <w:pStyle w:val="8"/>
              <w:keepNext/>
              <w:spacing w:after="0" w:line="440" w:lineRule="exact"/>
              <w:ind w:left="63" w:right="63"/>
              <w:rPr>
                <w:rFonts w:ascii="宋体" w:hAnsi="宋体" w:cs="宋体"/>
                <w:color w:val="auto"/>
                <w:szCs w:val="21"/>
                <w:highlight w:val="none"/>
              </w:rPr>
            </w:pPr>
          </w:p>
        </w:tc>
        <w:tc>
          <w:tcPr>
            <w:tcW w:w="1276"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243" w:type="dxa"/>
            <w:vAlign w:val="center"/>
          </w:tcPr>
          <w:p>
            <w:pPr>
              <w:pStyle w:val="8"/>
              <w:keepNext/>
              <w:spacing w:after="0" w:line="440" w:lineRule="exact"/>
              <w:ind w:left="63" w:right="63"/>
              <w:rPr>
                <w:rFonts w:ascii="宋体" w:hAnsi="宋体" w:cs="宋体"/>
                <w:color w:val="auto"/>
                <w:szCs w:val="21"/>
                <w:highlight w:val="none"/>
              </w:rPr>
            </w:pPr>
          </w:p>
        </w:tc>
        <w:tc>
          <w:tcPr>
            <w:tcW w:w="1450" w:type="dxa"/>
            <w:vAlign w:val="center"/>
          </w:tcPr>
          <w:p>
            <w:pPr>
              <w:pStyle w:val="8"/>
              <w:keepNext/>
              <w:spacing w:after="0" w:line="440" w:lineRule="exact"/>
              <w:ind w:left="63" w:right="63"/>
              <w:rPr>
                <w:rFonts w:ascii="宋体" w:hAnsi="宋体" w:cs="宋体"/>
                <w:color w:val="auto"/>
                <w:szCs w:val="21"/>
                <w:highlight w:val="none"/>
              </w:rPr>
            </w:pPr>
          </w:p>
        </w:tc>
        <w:tc>
          <w:tcPr>
            <w:tcW w:w="1667"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953" w:type="dxa"/>
          </w:tcPr>
          <w:p>
            <w:pPr>
              <w:rPr>
                <w:rFonts w:ascii="宋体" w:hAnsi="宋体" w:cs="宋体"/>
                <w:color w:val="auto"/>
                <w:szCs w:val="21"/>
                <w:highlight w:val="none"/>
              </w:rPr>
            </w:pPr>
          </w:p>
        </w:tc>
        <w:tc>
          <w:tcPr>
            <w:tcW w:w="1276"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243" w:type="dxa"/>
          </w:tcPr>
          <w:p>
            <w:pPr>
              <w:rPr>
                <w:rFonts w:ascii="宋体" w:hAnsi="宋体" w:cs="宋体"/>
                <w:color w:val="auto"/>
                <w:szCs w:val="21"/>
                <w:highlight w:val="none"/>
              </w:rPr>
            </w:pPr>
          </w:p>
        </w:tc>
        <w:tc>
          <w:tcPr>
            <w:tcW w:w="1450" w:type="dxa"/>
          </w:tcPr>
          <w:p>
            <w:pPr>
              <w:rPr>
                <w:rFonts w:ascii="宋体" w:hAnsi="宋体" w:cs="宋体"/>
                <w:color w:val="auto"/>
                <w:szCs w:val="21"/>
                <w:highlight w:val="none"/>
              </w:rPr>
            </w:pPr>
          </w:p>
        </w:tc>
        <w:tc>
          <w:tcPr>
            <w:tcW w:w="1667" w:type="dxa"/>
          </w:tcPr>
          <w:p>
            <w:pPr>
              <w:rPr>
                <w:rFonts w:ascii="宋体" w:hAnsi="宋体" w:cs="宋体"/>
                <w:color w:val="auto"/>
                <w:szCs w:val="21"/>
                <w:highlight w:val="none"/>
              </w:rPr>
            </w:pPr>
          </w:p>
        </w:tc>
      </w:tr>
    </w:tbl>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r>
        <w:rPr>
          <w:rFonts w:hint="eastAsia" w:ascii="宋体" w:hAnsi="宋体" w:cs="宋体"/>
          <w:color w:val="auto"/>
          <w:szCs w:val="21"/>
          <w:highlight w:val="none"/>
        </w:rPr>
        <w:br w:type="page"/>
      </w:r>
      <w:r>
        <w:rPr>
          <w:rFonts w:hint="eastAsia" w:ascii="宋体" w:hAnsi="宋体" w:cs="宋体"/>
          <w:color w:val="auto"/>
          <w:szCs w:val="21"/>
          <w:highlight w:val="none"/>
        </w:rPr>
        <w:t>附</w:t>
      </w:r>
      <w:bookmarkStart w:id="2583" w:name="_Toc267261698"/>
      <w:bookmarkStart w:id="2584" w:name="_Toc296891267"/>
      <w:bookmarkStart w:id="2585" w:name="_Toc296891055"/>
      <w:bookmarkStart w:id="2586" w:name="_Toc296346728"/>
      <w:bookmarkStart w:id="2587" w:name="_Toc296347226"/>
      <w:bookmarkStart w:id="2588" w:name="_Toc296944566"/>
      <w:bookmarkStart w:id="2589" w:name="_Toc296503227"/>
      <w:r>
        <w:rPr>
          <w:rFonts w:hint="eastAsia" w:ascii="宋体" w:hAnsi="宋体" w:cs="宋体"/>
          <w:color w:val="auto"/>
          <w:szCs w:val="21"/>
          <w:highlight w:val="none"/>
        </w:rPr>
        <w:t>件5：</w:t>
      </w:r>
    </w:p>
    <w:bookmarkEnd w:id="2583"/>
    <w:bookmarkEnd w:id="2584"/>
    <w:bookmarkEnd w:id="2585"/>
    <w:bookmarkEnd w:id="2586"/>
    <w:bookmarkEnd w:id="2587"/>
    <w:bookmarkEnd w:id="2588"/>
    <w:bookmarkEnd w:id="2589"/>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承包人用于本工程施工的机械设备表</w:t>
      </w:r>
    </w:p>
    <w:tbl>
      <w:tblPr>
        <w:tblStyle w:val="28"/>
        <w:tblW w:w="980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162"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序号</w:t>
            </w:r>
          </w:p>
        </w:tc>
        <w:tc>
          <w:tcPr>
            <w:tcW w:w="1418"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机械或设备名称</w:t>
            </w:r>
          </w:p>
        </w:tc>
        <w:tc>
          <w:tcPr>
            <w:tcW w:w="85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规格型号</w:t>
            </w:r>
          </w:p>
        </w:tc>
        <w:tc>
          <w:tcPr>
            <w:tcW w:w="1058"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数量</w:t>
            </w:r>
          </w:p>
        </w:tc>
        <w:tc>
          <w:tcPr>
            <w:tcW w:w="88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产地</w:t>
            </w:r>
          </w:p>
        </w:tc>
        <w:tc>
          <w:tcPr>
            <w:tcW w:w="102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制造年份</w:t>
            </w:r>
          </w:p>
        </w:tc>
        <w:tc>
          <w:tcPr>
            <w:tcW w:w="148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额定功率(kW)</w:t>
            </w:r>
          </w:p>
        </w:tc>
        <w:tc>
          <w:tcPr>
            <w:tcW w:w="1020"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生产能力</w:t>
            </w:r>
          </w:p>
        </w:tc>
        <w:tc>
          <w:tcPr>
            <w:tcW w:w="921"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18"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058"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88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02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48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1020"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c>
          <w:tcPr>
            <w:tcW w:w="921" w:type="dxa"/>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18"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5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058"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88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02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48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020"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921"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058" w:type="dxa"/>
            <w:vAlign w:val="center"/>
          </w:tcPr>
          <w:p>
            <w:pPr>
              <w:pStyle w:val="8"/>
              <w:keepNext/>
              <w:spacing w:after="0" w:line="440" w:lineRule="exact"/>
              <w:ind w:left="63" w:right="63"/>
              <w:rPr>
                <w:rFonts w:ascii="宋体" w:hAnsi="宋体" w:cs="宋体"/>
                <w:color w:val="auto"/>
                <w:szCs w:val="21"/>
                <w:highlight w:val="none"/>
              </w:rPr>
            </w:pPr>
          </w:p>
        </w:tc>
        <w:tc>
          <w:tcPr>
            <w:tcW w:w="8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14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921"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058" w:type="dxa"/>
            <w:vAlign w:val="center"/>
          </w:tcPr>
          <w:p>
            <w:pPr>
              <w:pStyle w:val="8"/>
              <w:keepNext/>
              <w:spacing w:after="0" w:line="440" w:lineRule="exact"/>
              <w:ind w:left="63" w:right="63"/>
              <w:rPr>
                <w:rFonts w:ascii="宋体" w:hAnsi="宋体" w:cs="宋体"/>
                <w:color w:val="auto"/>
                <w:szCs w:val="21"/>
                <w:highlight w:val="none"/>
              </w:rPr>
            </w:pPr>
          </w:p>
        </w:tc>
        <w:tc>
          <w:tcPr>
            <w:tcW w:w="8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14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921"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058" w:type="dxa"/>
            <w:vAlign w:val="center"/>
          </w:tcPr>
          <w:p>
            <w:pPr>
              <w:pStyle w:val="8"/>
              <w:keepNext/>
              <w:spacing w:after="0" w:line="440" w:lineRule="exact"/>
              <w:ind w:left="63" w:right="63"/>
              <w:rPr>
                <w:rFonts w:ascii="宋体" w:hAnsi="宋体" w:cs="宋体"/>
                <w:color w:val="auto"/>
                <w:szCs w:val="21"/>
                <w:highlight w:val="none"/>
              </w:rPr>
            </w:pPr>
          </w:p>
        </w:tc>
        <w:tc>
          <w:tcPr>
            <w:tcW w:w="8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14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921"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058" w:type="dxa"/>
            <w:vAlign w:val="center"/>
          </w:tcPr>
          <w:p>
            <w:pPr>
              <w:pStyle w:val="8"/>
              <w:keepNext/>
              <w:spacing w:after="0" w:line="440" w:lineRule="exact"/>
              <w:ind w:left="63" w:right="63"/>
              <w:rPr>
                <w:rFonts w:ascii="宋体" w:hAnsi="宋体" w:cs="宋体"/>
                <w:color w:val="auto"/>
                <w:szCs w:val="21"/>
                <w:highlight w:val="none"/>
              </w:rPr>
            </w:pPr>
          </w:p>
        </w:tc>
        <w:tc>
          <w:tcPr>
            <w:tcW w:w="8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14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921"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058" w:type="dxa"/>
            <w:vAlign w:val="center"/>
          </w:tcPr>
          <w:p>
            <w:pPr>
              <w:pStyle w:val="8"/>
              <w:keepNext/>
              <w:spacing w:after="0" w:line="440" w:lineRule="exact"/>
              <w:ind w:left="63" w:right="63"/>
              <w:rPr>
                <w:rFonts w:ascii="宋体" w:hAnsi="宋体" w:cs="宋体"/>
                <w:color w:val="auto"/>
                <w:szCs w:val="21"/>
                <w:highlight w:val="none"/>
              </w:rPr>
            </w:pPr>
          </w:p>
        </w:tc>
        <w:tc>
          <w:tcPr>
            <w:tcW w:w="8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14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921"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058" w:type="dxa"/>
            <w:vAlign w:val="center"/>
          </w:tcPr>
          <w:p>
            <w:pPr>
              <w:pStyle w:val="8"/>
              <w:keepNext/>
              <w:spacing w:after="0" w:line="440" w:lineRule="exact"/>
              <w:ind w:left="63" w:right="63"/>
              <w:rPr>
                <w:rFonts w:ascii="宋体" w:hAnsi="宋体" w:cs="宋体"/>
                <w:color w:val="auto"/>
                <w:szCs w:val="21"/>
                <w:highlight w:val="none"/>
              </w:rPr>
            </w:pPr>
          </w:p>
        </w:tc>
        <w:tc>
          <w:tcPr>
            <w:tcW w:w="8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14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921"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850" w:type="dxa"/>
            <w:vAlign w:val="center"/>
          </w:tcPr>
          <w:p>
            <w:pPr>
              <w:pStyle w:val="8"/>
              <w:keepNext/>
              <w:spacing w:after="0" w:line="440" w:lineRule="exact"/>
              <w:ind w:left="63" w:right="63"/>
              <w:rPr>
                <w:rFonts w:ascii="宋体" w:hAnsi="宋体" w:cs="宋体"/>
                <w:color w:val="auto"/>
                <w:szCs w:val="21"/>
                <w:highlight w:val="none"/>
              </w:rPr>
            </w:pPr>
          </w:p>
        </w:tc>
        <w:tc>
          <w:tcPr>
            <w:tcW w:w="1058" w:type="dxa"/>
            <w:vAlign w:val="center"/>
          </w:tcPr>
          <w:p>
            <w:pPr>
              <w:pStyle w:val="8"/>
              <w:keepNext/>
              <w:spacing w:after="0" w:line="440" w:lineRule="exact"/>
              <w:ind w:left="63" w:right="63"/>
              <w:rPr>
                <w:rFonts w:ascii="宋体" w:hAnsi="宋体" w:cs="宋体"/>
                <w:color w:val="auto"/>
                <w:szCs w:val="21"/>
                <w:highlight w:val="none"/>
              </w:rPr>
            </w:pPr>
          </w:p>
        </w:tc>
        <w:tc>
          <w:tcPr>
            <w:tcW w:w="8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1480" w:type="dxa"/>
            <w:vAlign w:val="center"/>
          </w:tcPr>
          <w:p>
            <w:pPr>
              <w:pStyle w:val="8"/>
              <w:keepNext/>
              <w:spacing w:after="0" w:line="440" w:lineRule="exact"/>
              <w:ind w:left="63" w:right="63"/>
              <w:rPr>
                <w:rFonts w:ascii="宋体" w:hAnsi="宋体" w:cs="宋体"/>
                <w:color w:val="auto"/>
                <w:szCs w:val="21"/>
                <w:highlight w:val="none"/>
              </w:rPr>
            </w:pPr>
          </w:p>
        </w:tc>
        <w:tc>
          <w:tcPr>
            <w:tcW w:w="1020" w:type="dxa"/>
            <w:vAlign w:val="center"/>
          </w:tcPr>
          <w:p>
            <w:pPr>
              <w:pStyle w:val="8"/>
              <w:keepNext/>
              <w:spacing w:after="0" w:line="440" w:lineRule="exact"/>
              <w:ind w:left="63" w:right="63"/>
              <w:rPr>
                <w:rFonts w:ascii="宋体" w:hAnsi="宋体" w:cs="宋体"/>
                <w:color w:val="auto"/>
                <w:szCs w:val="21"/>
                <w:highlight w:val="none"/>
              </w:rPr>
            </w:pPr>
          </w:p>
        </w:tc>
        <w:tc>
          <w:tcPr>
            <w:tcW w:w="921"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67" w:hRule="atLeast"/>
          <w:jc w:val="center"/>
        </w:trPr>
        <w:tc>
          <w:tcPr>
            <w:tcW w:w="1162" w:type="dxa"/>
          </w:tcPr>
          <w:p>
            <w:pPr>
              <w:rPr>
                <w:rFonts w:ascii="宋体" w:hAnsi="宋体" w:cs="宋体"/>
                <w:color w:val="auto"/>
                <w:szCs w:val="21"/>
                <w:highlight w:val="none"/>
              </w:rPr>
            </w:pPr>
          </w:p>
        </w:tc>
        <w:tc>
          <w:tcPr>
            <w:tcW w:w="1418" w:type="dxa"/>
          </w:tcPr>
          <w:p>
            <w:pPr>
              <w:rPr>
                <w:rFonts w:ascii="宋体" w:hAnsi="宋体" w:cs="宋体"/>
                <w:color w:val="auto"/>
                <w:szCs w:val="21"/>
                <w:highlight w:val="none"/>
              </w:rPr>
            </w:pPr>
          </w:p>
        </w:tc>
        <w:tc>
          <w:tcPr>
            <w:tcW w:w="850" w:type="dxa"/>
          </w:tcPr>
          <w:p>
            <w:pPr>
              <w:rPr>
                <w:rFonts w:ascii="宋体" w:hAnsi="宋体" w:cs="宋体"/>
                <w:color w:val="auto"/>
                <w:szCs w:val="21"/>
                <w:highlight w:val="none"/>
              </w:rPr>
            </w:pPr>
          </w:p>
        </w:tc>
        <w:tc>
          <w:tcPr>
            <w:tcW w:w="1058" w:type="dxa"/>
          </w:tcPr>
          <w:p>
            <w:pPr>
              <w:rPr>
                <w:rFonts w:ascii="宋体" w:hAnsi="宋体" w:cs="宋体"/>
                <w:color w:val="auto"/>
                <w:szCs w:val="21"/>
                <w:highlight w:val="none"/>
              </w:rPr>
            </w:pPr>
          </w:p>
        </w:tc>
        <w:tc>
          <w:tcPr>
            <w:tcW w:w="8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1480" w:type="dxa"/>
          </w:tcPr>
          <w:p>
            <w:pPr>
              <w:rPr>
                <w:rFonts w:ascii="宋体" w:hAnsi="宋体" w:cs="宋体"/>
                <w:color w:val="auto"/>
                <w:szCs w:val="21"/>
                <w:highlight w:val="none"/>
              </w:rPr>
            </w:pPr>
          </w:p>
        </w:tc>
        <w:tc>
          <w:tcPr>
            <w:tcW w:w="1020" w:type="dxa"/>
          </w:tcPr>
          <w:p>
            <w:pPr>
              <w:rPr>
                <w:rFonts w:ascii="宋体" w:hAnsi="宋体" w:cs="宋体"/>
                <w:color w:val="auto"/>
                <w:szCs w:val="21"/>
                <w:highlight w:val="none"/>
              </w:rPr>
            </w:pPr>
          </w:p>
        </w:tc>
        <w:tc>
          <w:tcPr>
            <w:tcW w:w="921" w:type="dxa"/>
          </w:tcPr>
          <w:p>
            <w:pPr>
              <w:rPr>
                <w:rFonts w:ascii="宋体" w:hAnsi="宋体" w:cs="宋体"/>
                <w:color w:val="auto"/>
                <w:szCs w:val="21"/>
                <w:highlight w:val="none"/>
              </w:rPr>
            </w:pPr>
          </w:p>
        </w:tc>
      </w:tr>
    </w:tbl>
    <w:p>
      <w:pPr>
        <w:spacing w:line="440" w:lineRule="exact"/>
        <w:rPr>
          <w:rFonts w:ascii="宋体" w:hAnsi="宋体" w:cs="宋体"/>
          <w:color w:val="auto"/>
          <w:szCs w:val="21"/>
          <w:highlight w:val="none"/>
        </w:rPr>
      </w:pPr>
    </w:p>
    <w:p>
      <w:pPr>
        <w:spacing w:line="360" w:lineRule="auto"/>
        <w:rPr>
          <w:rFonts w:ascii="宋体" w:hAnsi="宋体" w:cs="宋体"/>
          <w:color w:val="auto"/>
          <w:highlight w:val="none"/>
        </w:rPr>
      </w:pPr>
    </w:p>
    <w:p>
      <w:pPr>
        <w:spacing w:line="440" w:lineRule="exact"/>
        <w:rPr>
          <w:rFonts w:ascii="宋体" w:hAnsi="宋体" w:cs="宋体"/>
          <w:color w:val="auto"/>
          <w:szCs w:val="21"/>
          <w:highlight w:val="none"/>
        </w:rPr>
      </w:pPr>
      <w:r>
        <w:rPr>
          <w:rFonts w:hint="eastAsia" w:ascii="宋体" w:hAnsi="宋体" w:cs="宋体"/>
          <w:color w:val="auto"/>
          <w:szCs w:val="21"/>
          <w:highlight w:val="none"/>
        </w:rPr>
        <w:t>附</w:t>
      </w:r>
      <w:bookmarkStart w:id="2590" w:name="_Toc296503228"/>
      <w:bookmarkStart w:id="2591" w:name="_Toc296347227"/>
      <w:bookmarkStart w:id="2592" w:name="_Toc296891056"/>
      <w:bookmarkStart w:id="2593" w:name="_Toc296346729"/>
      <w:bookmarkStart w:id="2594" w:name="_Toc296891268"/>
      <w:bookmarkStart w:id="2595" w:name="_Toc267261699"/>
      <w:bookmarkStart w:id="2596" w:name="_Toc296944567"/>
      <w:r>
        <w:rPr>
          <w:rFonts w:hint="eastAsia" w:ascii="宋体" w:hAnsi="宋体" w:cs="宋体"/>
          <w:color w:val="auto"/>
          <w:szCs w:val="21"/>
          <w:highlight w:val="none"/>
        </w:rPr>
        <w:t>件6：</w:t>
      </w:r>
    </w:p>
    <w:bookmarkEnd w:id="2590"/>
    <w:bookmarkEnd w:id="2591"/>
    <w:bookmarkEnd w:id="2592"/>
    <w:bookmarkEnd w:id="2593"/>
    <w:bookmarkEnd w:id="2594"/>
    <w:bookmarkEnd w:id="2595"/>
    <w:bookmarkEnd w:id="2596"/>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承包人主要施工管理人员表</w:t>
      </w:r>
    </w:p>
    <w:tbl>
      <w:tblPr>
        <w:tblStyle w:val="28"/>
        <w:tblW w:w="980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名    称</w:t>
            </w:r>
          </w:p>
        </w:tc>
        <w:tc>
          <w:tcPr>
            <w:tcW w:w="1418"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姓名</w:t>
            </w:r>
          </w:p>
        </w:tc>
        <w:tc>
          <w:tcPr>
            <w:tcW w:w="1134"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职务</w:t>
            </w:r>
          </w:p>
        </w:tc>
        <w:tc>
          <w:tcPr>
            <w:tcW w:w="1134"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职称</w:t>
            </w:r>
          </w:p>
        </w:tc>
        <w:tc>
          <w:tcPr>
            <w:tcW w:w="4252"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nil"/>
              <w:bottom w:val="nil"/>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项目主管</w:t>
            </w:r>
          </w:p>
        </w:tc>
        <w:tc>
          <w:tcPr>
            <w:tcW w:w="1418"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4252"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nil"/>
              <w:bottom w:val="nil"/>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其他人员</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nil"/>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项目负责人</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项目副经理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技术负责人</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ascii="宋体" w:hAnsi="宋体" w:cs="宋体"/>
                <w:color w:val="auto"/>
                <w:szCs w:val="21"/>
                <w:highlight w:val="none"/>
              </w:rPr>
              <w:t>施工</w:t>
            </w:r>
            <w:r>
              <w:rPr>
                <w:rFonts w:hint="eastAsia" w:ascii="宋体" w:hAnsi="宋体" w:cs="宋体"/>
                <w:color w:val="auto"/>
                <w:szCs w:val="21"/>
                <w:highlight w:val="none"/>
              </w:rPr>
              <w:t>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质量管理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ascii="宋体" w:hAnsi="宋体" w:cs="宋体"/>
                <w:color w:val="auto"/>
                <w:szCs w:val="21"/>
                <w:highlight w:val="none"/>
              </w:rPr>
              <w:t>安全</w:t>
            </w:r>
            <w:r>
              <w:rPr>
                <w:rFonts w:hint="eastAsia" w:ascii="宋体" w:hAnsi="宋体" w:cs="宋体"/>
                <w:color w:val="auto"/>
                <w:szCs w:val="21"/>
                <w:highlight w:val="none"/>
              </w:rPr>
              <w:t>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ascii="宋体" w:hAnsi="宋体" w:cs="宋体"/>
                <w:color w:val="auto"/>
                <w:szCs w:val="21"/>
                <w:highlight w:val="none"/>
              </w:rPr>
              <w:t>材料</w:t>
            </w:r>
            <w:r>
              <w:rPr>
                <w:rFonts w:hint="eastAsia" w:ascii="宋体" w:hAnsi="宋体" w:cs="宋体"/>
                <w:color w:val="auto"/>
                <w:szCs w:val="21"/>
                <w:highlight w:val="none"/>
              </w:rPr>
              <w:t>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ascii="宋体" w:hAnsi="宋体" w:cs="宋体"/>
                <w:color w:val="auto"/>
                <w:szCs w:val="21"/>
                <w:highlight w:val="none"/>
              </w:rPr>
              <w:t>资料</w:t>
            </w:r>
            <w:r>
              <w:rPr>
                <w:rFonts w:hint="eastAsia" w:ascii="宋体" w:hAnsi="宋体" w:cs="宋体"/>
                <w:color w:val="auto"/>
                <w:szCs w:val="21"/>
                <w:highlight w:val="none"/>
              </w:rPr>
              <w:t>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restart"/>
            <w:tcBorders>
              <w:top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其他人员</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vAlign w:val="center"/>
          </w:tcPr>
          <w:p>
            <w:pPr>
              <w:pStyle w:val="8"/>
              <w:keepNext/>
              <w:spacing w:after="0" w:line="440" w:lineRule="exact"/>
              <w:ind w:left="63" w:right="63"/>
              <w:rPr>
                <w:rFonts w:ascii="宋体" w:hAnsi="宋体" w:cs="宋体"/>
                <w:color w:val="auto"/>
                <w:szCs w:val="21"/>
                <w:highlight w:val="none"/>
              </w:rPr>
            </w:pPr>
          </w:p>
        </w:tc>
        <w:tc>
          <w:tcPr>
            <w:tcW w:w="1418" w:type="dxa"/>
            <w:tcBorders>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4252" w:type="dxa"/>
            <w:tcBorders>
              <w:bottom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c>
          <w:tcPr>
            <w:tcW w:w="1418" w:type="dxa"/>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c>
          <w:tcPr>
            <w:tcW w:w="4252" w:type="dxa"/>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r>
    </w:tbl>
    <w:p>
      <w:pPr>
        <w:spacing w:line="440" w:lineRule="exact"/>
        <w:rPr>
          <w:rFonts w:ascii="宋体" w:hAnsi="宋体" w:cs="宋体"/>
          <w:color w:val="auto"/>
          <w:szCs w:val="21"/>
          <w:highlight w:val="none"/>
        </w:rPr>
      </w:pPr>
      <w:r>
        <w:rPr>
          <w:rFonts w:hint="eastAsia" w:ascii="宋体" w:hAnsi="宋体" w:cs="宋体"/>
          <w:color w:val="auto"/>
          <w:szCs w:val="21"/>
          <w:highlight w:val="none"/>
        </w:rPr>
        <w:br w:type="page"/>
      </w:r>
      <w:r>
        <w:rPr>
          <w:rFonts w:hint="eastAsia" w:ascii="宋体" w:hAnsi="宋体" w:cs="宋体"/>
          <w:color w:val="auto"/>
          <w:szCs w:val="21"/>
          <w:highlight w:val="none"/>
        </w:rPr>
        <w:t>附</w:t>
      </w:r>
      <w:bookmarkStart w:id="2597" w:name="_Toc296347228"/>
      <w:bookmarkStart w:id="2598" w:name="_Toc296944568"/>
      <w:bookmarkStart w:id="2599" w:name="_Toc296891269"/>
      <w:bookmarkStart w:id="2600" w:name="_Toc296503229"/>
      <w:bookmarkStart w:id="2601" w:name="_Toc296346730"/>
      <w:bookmarkStart w:id="2602" w:name="_Toc296891057"/>
      <w:r>
        <w:rPr>
          <w:rFonts w:hint="eastAsia" w:ascii="宋体" w:hAnsi="宋体" w:cs="宋体"/>
          <w:color w:val="auto"/>
          <w:szCs w:val="21"/>
          <w:highlight w:val="none"/>
        </w:rPr>
        <w:t>件7：</w:t>
      </w:r>
    </w:p>
    <w:bookmarkEnd w:id="2597"/>
    <w:bookmarkEnd w:id="2598"/>
    <w:bookmarkEnd w:id="2599"/>
    <w:bookmarkEnd w:id="2600"/>
    <w:bookmarkEnd w:id="2601"/>
    <w:bookmarkEnd w:id="2602"/>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分包人主要施工管理人员表</w:t>
      </w:r>
    </w:p>
    <w:tbl>
      <w:tblPr>
        <w:tblStyle w:val="28"/>
        <w:tblW w:w="980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名    称</w:t>
            </w:r>
          </w:p>
        </w:tc>
        <w:tc>
          <w:tcPr>
            <w:tcW w:w="1418"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姓名</w:t>
            </w:r>
          </w:p>
        </w:tc>
        <w:tc>
          <w:tcPr>
            <w:tcW w:w="1134"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职务</w:t>
            </w:r>
          </w:p>
        </w:tc>
        <w:tc>
          <w:tcPr>
            <w:tcW w:w="1134"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职称</w:t>
            </w:r>
          </w:p>
        </w:tc>
        <w:tc>
          <w:tcPr>
            <w:tcW w:w="4252" w:type="dxa"/>
            <w:tcBorders>
              <w:top w:val="single" w:color="auto" w:sz="12" w:space="0"/>
              <w:bottom w:val="doub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nil"/>
              <w:bottom w:val="nil"/>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项目主管</w:t>
            </w:r>
          </w:p>
        </w:tc>
        <w:tc>
          <w:tcPr>
            <w:tcW w:w="1418"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c>
          <w:tcPr>
            <w:tcW w:w="4252" w:type="dxa"/>
            <w:tcBorders>
              <w:top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nil"/>
              <w:bottom w:val="nil"/>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其他人员</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nil"/>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项目负责人</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项目副经理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技术负责人</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ascii="宋体" w:hAnsi="宋体" w:cs="宋体"/>
                <w:color w:val="auto"/>
                <w:szCs w:val="21"/>
                <w:highlight w:val="none"/>
              </w:rPr>
              <w:t>施工</w:t>
            </w:r>
            <w:r>
              <w:rPr>
                <w:rFonts w:hint="eastAsia" w:ascii="宋体" w:hAnsi="宋体" w:cs="宋体"/>
                <w:color w:val="auto"/>
                <w:szCs w:val="21"/>
                <w:highlight w:val="none"/>
              </w:rPr>
              <w:t>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质量管理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ascii="宋体" w:hAnsi="宋体" w:cs="宋体"/>
                <w:color w:val="auto"/>
                <w:szCs w:val="21"/>
                <w:highlight w:val="none"/>
              </w:rPr>
              <w:t>安全</w:t>
            </w:r>
            <w:r>
              <w:rPr>
                <w:rFonts w:hint="eastAsia" w:ascii="宋体" w:hAnsi="宋体" w:cs="宋体"/>
                <w:color w:val="auto"/>
                <w:szCs w:val="21"/>
                <w:highlight w:val="none"/>
              </w:rPr>
              <w:t>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ascii="宋体" w:hAnsi="宋体" w:cs="宋体"/>
                <w:color w:val="auto"/>
                <w:szCs w:val="21"/>
                <w:highlight w:val="none"/>
              </w:rPr>
              <w:t>材料</w:t>
            </w:r>
            <w:r>
              <w:rPr>
                <w:rFonts w:hint="eastAsia" w:ascii="宋体" w:hAnsi="宋体" w:cs="宋体"/>
                <w:color w:val="auto"/>
                <w:szCs w:val="21"/>
                <w:highlight w:val="none"/>
              </w:rPr>
              <w:t>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ascii="宋体" w:hAnsi="宋体" w:cs="宋体"/>
                <w:color w:val="auto"/>
                <w:szCs w:val="21"/>
                <w:highlight w:val="none"/>
              </w:rPr>
              <w:t>资料</w:t>
            </w:r>
            <w:r>
              <w:rPr>
                <w:rFonts w:hint="eastAsia" w:ascii="宋体" w:hAnsi="宋体" w:cs="宋体"/>
                <w:color w:val="auto"/>
                <w:szCs w:val="21"/>
                <w:highlight w:val="none"/>
              </w:rPr>
              <w:t>管理</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restart"/>
            <w:tcBorders>
              <w:top w:val="single" w:color="auto" w:sz="6" w:space="0"/>
            </w:tcBorders>
            <w:vAlign w:val="center"/>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其他人员</w:t>
            </w: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vAlign w:val="center"/>
          </w:tcPr>
          <w:p>
            <w:pPr>
              <w:pStyle w:val="8"/>
              <w:keepNext/>
              <w:spacing w:after="0" w:line="440" w:lineRule="exact"/>
              <w:ind w:left="63" w:right="63"/>
              <w:rPr>
                <w:rFonts w:ascii="宋体" w:hAnsi="宋体" w:cs="宋体"/>
                <w:color w:val="auto"/>
                <w:szCs w:val="21"/>
                <w:highlight w:val="none"/>
              </w:rPr>
            </w:pPr>
          </w:p>
        </w:tc>
        <w:tc>
          <w:tcPr>
            <w:tcW w:w="1418" w:type="dxa"/>
            <w:tcBorders>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bottom w:val="nil"/>
            </w:tcBorders>
            <w:vAlign w:val="center"/>
          </w:tcPr>
          <w:p>
            <w:pPr>
              <w:pStyle w:val="8"/>
              <w:keepNext/>
              <w:spacing w:after="0" w:line="440" w:lineRule="exact"/>
              <w:ind w:left="63" w:right="63"/>
              <w:rPr>
                <w:rFonts w:ascii="宋体" w:hAnsi="宋体" w:cs="宋体"/>
                <w:color w:val="auto"/>
                <w:szCs w:val="21"/>
                <w:highlight w:val="none"/>
              </w:rPr>
            </w:pPr>
          </w:p>
        </w:tc>
        <w:tc>
          <w:tcPr>
            <w:tcW w:w="4252" w:type="dxa"/>
            <w:tcBorders>
              <w:bottom w:val="nil"/>
            </w:tcBorders>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vAlign w:val="center"/>
          </w:tcPr>
          <w:p>
            <w:pPr>
              <w:pStyle w:val="8"/>
              <w:keepNext/>
              <w:spacing w:after="0" w:line="440" w:lineRule="exact"/>
              <w:ind w:left="63" w:right="63"/>
              <w:rPr>
                <w:rFonts w:ascii="宋体" w:hAnsi="宋体" w:cs="宋体"/>
                <w:color w:val="auto"/>
                <w:szCs w:val="21"/>
                <w:highlight w:val="none"/>
              </w:rPr>
            </w:pPr>
          </w:p>
        </w:tc>
        <w:tc>
          <w:tcPr>
            <w:tcW w:w="1418"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1134" w:type="dxa"/>
            <w:vAlign w:val="center"/>
          </w:tcPr>
          <w:p>
            <w:pPr>
              <w:pStyle w:val="8"/>
              <w:keepNext/>
              <w:spacing w:after="0" w:line="440" w:lineRule="exact"/>
              <w:ind w:left="63" w:right="63"/>
              <w:rPr>
                <w:rFonts w:ascii="宋体" w:hAnsi="宋体" w:cs="宋体"/>
                <w:color w:val="auto"/>
                <w:szCs w:val="21"/>
                <w:highlight w:val="none"/>
              </w:rPr>
            </w:pPr>
          </w:p>
        </w:tc>
        <w:tc>
          <w:tcPr>
            <w:tcW w:w="4252" w:type="dxa"/>
            <w:vAlign w:val="center"/>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vMerge w:val="continue"/>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c>
          <w:tcPr>
            <w:tcW w:w="1418" w:type="dxa"/>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c>
          <w:tcPr>
            <w:tcW w:w="1134" w:type="dxa"/>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c>
          <w:tcPr>
            <w:tcW w:w="4252" w:type="dxa"/>
            <w:tcBorders>
              <w:bottom w:val="single" w:color="auto" w:sz="12" w:space="0"/>
            </w:tcBorders>
            <w:vAlign w:val="center"/>
          </w:tcPr>
          <w:p>
            <w:pPr>
              <w:pStyle w:val="8"/>
              <w:keepNext/>
              <w:spacing w:after="0" w:line="440" w:lineRule="exact"/>
              <w:ind w:left="63" w:right="63"/>
              <w:rPr>
                <w:rFonts w:ascii="宋体" w:hAnsi="宋体" w:cs="宋体"/>
                <w:color w:val="auto"/>
                <w:szCs w:val="21"/>
                <w:highlight w:val="none"/>
              </w:rPr>
            </w:pPr>
          </w:p>
        </w:tc>
      </w:tr>
    </w:tbl>
    <w:p>
      <w:pPr>
        <w:spacing w:line="440" w:lineRule="exact"/>
        <w:rPr>
          <w:rFonts w:ascii="宋体" w:hAnsi="宋体" w:cs="宋体"/>
          <w:color w:val="auto"/>
          <w:szCs w:val="21"/>
          <w:highlight w:val="none"/>
        </w:rPr>
      </w:pPr>
      <w:r>
        <w:rPr>
          <w:rFonts w:hint="eastAsia" w:ascii="宋体" w:hAnsi="宋体" w:cs="宋体"/>
          <w:color w:val="auto"/>
          <w:szCs w:val="21"/>
          <w:highlight w:val="none"/>
        </w:rPr>
        <w:br w:type="page"/>
      </w:r>
      <w:bookmarkStart w:id="2603" w:name="_Toc267261701"/>
      <w:r>
        <w:rPr>
          <w:rFonts w:hint="eastAsia" w:ascii="宋体" w:hAnsi="宋体" w:cs="宋体"/>
          <w:color w:val="auto"/>
          <w:szCs w:val="21"/>
          <w:highlight w:val="none"/>
        </w:rPr>
        <w:t>附</w:t>
      </w:r>
      <w:bookmarkStart w:id="2604" w:name="_Toc296891059"/>
      <w:bookmarkStart w:id="2605" w:name="_Toc296346732"/>
      <w:bookmarkStart w:id="2606" w:name="_Toc296944570"/>
      <w:bookmarkStart w:id="2607" w:name="_Toc296503231"/>
      <w:bookmarkStart w:id="2608" w:name="_Toc296347230"/>
      <w:bookmarkStart w:id="2609" w:name="_Toc296891271"/>
      <w:r>
        <w:rPr>
          <w:rFonts w:hint="eastAsia" w:ascii="宋体" w:hAnsi="宋体" w:cs="宋体"/>
          <w:color w:val="auto"/>
          <w:szCs w:val="21"/>
          <w:highlight w:val="none"/>
        </w:rPr>
        <w:t>件8：</w:t>
      </w:r>
    </w:p>
    <w:bookmarkEnd w:id="2603"/>
    <w:bookmarkEnd w:id="2604"/>
    <w:bookmarkEnd w:id="2605"/>
    <w:bookmarkEnd w:id="2606"/>
    <w:bookmarkEnd w:id="2607"/>
    <w:bookmarkEnd w:id="2608"/>
    <w:bookmarkEnd w:id="2609"/>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履约担保</w:t>
      </w:r>
    </w:p>
    <w:p>
      <w:pPr>
        <w:spacing w:line="440" w:lineRule="exact"/>
        <w:rPr>
          <w:rFonts w:ascii="宋体" w:hAnsi="宋体" w:cs="宋体"/>
          <w:color w:val="auto"/>
          <w:szCs w:val="21"/>
          <w:highlight w:val="none"/>
        </w:rPr>
      </w:pPr>
      <w:r>
        <w:rPr>
          <w:rFonts w:hint="eastAsia" w:ascii="宋体" w:hAnsi="宋体" w:cs="宋体"/>
          <w:color w:val="auto"/>
          <w:szCs w:val="21"/>
          <w:highlight w:val="none"/>
          <w:u w:val="single"/>
        </w:rPr>
        <w:tab/>
      </w:r>
      <w:r>
        <w:rPr>
          <w:rFonts w:hint="eastAsia" w:ascii="宋体" w:hAnsi="宋体" w:cs="宋体"/>
          <w:color w:val="auto"/>
          <w:szCs w:val="21"/>
          <w:highlight w:val="none"/>
        </w:rPr>
        <w:t>（发包人名称）：</w:t>
      </w:r>
    </w:p>
    <w:p>
      <w:pPr>
        <w:spacing w:line="440" w:lineRule="exact"/>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鉴于（发包人名称，以下简称“发包人”）与（承包人名称）（以下称“承包人”）于</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 xml:space="preserve">日就（工程名称）施工及有关事项协商一致共同签订《建设工程施工合同》。我方愿意无条件地、不可撤销地就承包人履行与你方签订的合同，向你方提供连带责任担保。 </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 担保金额人民币</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（大写）</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元（¥）。</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 担保有效期自你方与承包人签订的合同生效之日起至你方签发或应签发工程接收证书之日止。</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 在本担保有效期内，因承包人违反合同约定的义务给你方造成经济损失时，我方在收到你方以书面形式提出的在担保金额内的赔偿要求后，在7天内无条件支付。</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 你方和承包人按合同约定变更合同时，我方承担本担保规定的义务不变。</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 因本保函发生的纠纷，可由双方协商解决，协商不成的，任何一方均可提请仲裁委员会仲裁。</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 本保函自我方法定代表人（或其授权代理人）签字并加盖公章之日起生效。</w:t>
      </w:r>
    </w:p>
    <w:p>
      <w:pPr>
        <w:spacing w:line="360" w:lineRule="auto"/>
        <w:rPr>
          <w:rFonts w:ascii="宋体" w:hAnsi="宋体" w:cs="宋体"/>
          <w:color w:val="auto"/>
          <w:szCs w:val="21"/>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担 保 人：（盖单位章）</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法定代表人或其委托代理人：（签字）</w:t>
      </w:r>
    </w:p>
    <w:p>
      <w:pPr>
        <w:spacing w:line="360" w:lineRule="auto"/>
        <w:rPr>
          <w:rFonts w:ascii="宋体" w:hAnsi="宋体" w:cs="宋体"/>
          <w:color w:val="auto"/>
          <w:szCs w:val="21"/>
          <w:highlight w:val="none"/>
        </w:rPr>
      </w:pPr>
      <w:r>
        <w:rPr>
          <w:rFonts w:hint="eastAsia" w:ascii="宋体" w:hAnsi="宋体" w:cs="宋体"/>
          <w:color w:val="auto"/>
          <w:szCs w:val="21"/>
          <w:highlight w:val="none"/>
        </w:rPr>
        <w:t>地    址：</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邮政编码：</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电    话：</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传    真：</w:t>
      </w:r>
    </w:p>
    <w:p>
      <w:pPr>
        <w:spacing w:line="360" w:lineRule="auto"/>
        <w:jc w:val="left"/>
        <w:rPr>
          <w:rFonts w:ascii="宋体" w:hAnsi="宋体" w:cs="宋体"/>
          <w:color w:val="auto"/>
          <w:szCs w:val="21"/>
          <w:highlight w:val="none"/>
          <w:u w:val="single"/>
        </w:rPr>
      </w:pPr>
    </w:p>
    <w:p>
      <w:pPr>
        <w:spacing w:line="360" w:lineRule="auto"/>
        <w:ind w:left="1329" w:hanging="1329" w:hangingChars="633"/>
        <w:rPr>
          <w:rFonts w:ascii="宋体" w:hAnsi="宋体" w:cs="宋体"/>
          <w:color w:val="auto"/>
          <w:szCs w:val="21"/>
          <w:highlight w:val="none"/>
        </w:rPr>
      </w:pPr>
      <w:r>
        <w:rPr>
          <w:rFonts w:hint="eastAsia" w:ascii="宋体" w:hAnsi="宋体" w:cs="宋体"/>
          <w:color w:val="auto"/>
          <w:szCs w:val="21"/>
          <w:highlight w:val="none"/>
        </w:rPr>
        <w:t>年月日</w:t>
      </w:r>
    </w:p>
    <w:p>
      <w:pPr>
        <w:spacing w:line="360" w:lineRule="auto"/>
        <w:ind w:left="1329" w:hanging="1329" w:hangingChars="633"/>
        <w:rPr>
          <w:rFonts w:ascii="宋体" w:hAnsi="宋体" w:cs="宋体"/>
          <w:color w:val="auto"/>
          <w:szCs w:val="21"/>
          <w:highlight w:val="none"/>
        </w:rPr>
      </w:pPr>
    </w:p>
    <w:p>
      <w:pPr>
        <w:spacing w:line="360" w:lineRule="auto"/>
        <w:ind w:left="1329" w:hanging="1329" w:hangingChars="633"/>
        <w:rPr>
          <w:rFonts w:ascii="宋体" w:hAnsi="宋体" w:cs="宋体"/>
          <w:color w:val="auto"/>
          <w:szCs w:val="21"/>
          <w:highlight w:val="none"/>
        </w:rPr>
      </w:pPr>
    </w:p>
    <w:p>
      <w:pPr>
        <w:spacing w:line="360" w:lineRule="auto"/>
        <w:ind w:left="1329" w:hanging="1329" w:hangingChars="633"/>
        <w:rPr>
          <w:rFonts w:ascii="宋体" w:hAnsi="宋体" w:cs="宋体"/>
          <w:color w:val="auto"/>
          <w:szCs w:val="21"/>
          <w:highlight w:val="none"/>
        </w:rPr>
      </w:pPr>
    </w:p>
    <w:p>
      <w:pPr>
        <w:spacing w:line="360" w:lineRule="auto"/>
        <w:rPr>
          <w:color w:val="auto"/>
          <w:highlight w:val="none"/>
        </w:rPr>
      </w:pPr>
    </w:p>
    <w:p>
      <w:pPr>
        <w:rPr>
          <w:rFonts w:hint="eastAsia" w:ascii="宋体" w:hAnsi="宋体" w:cs="宋体"/>
          <w:color w:val="auto"/>
          <w:szCs w:val="21"/>
          <w:highlight w:val="none"/>
        </w:rPr>
      </w:pPr>
      <w:r>
        <w:rPr>
          <w:rFonts w:hint="eastAsia" w:ascii="宋体" w:hAnsi="宋体" w:cs="宋体"/>
          <w:color w:val="auto"/>
          <w:szCs w:val="21"/>
          <w:highlight w:val="none"/>
        </w:rPr>
        <w:br w:type="page"/>
      </w:r>
    </w:p>
    <w:p>
      <w:pPr>
        <w:spacing w:line="360" w:lineRule="auto"/>
        <w:rPr>
          <w:rFonts w:ascii="宋体" w:hAnsi="宋体" w:cs="宋体"/>
          <w:color w:val="auto"/>
          <w:szCs w:val="21"/>
          <w:highlight w:val="none"/>
        </w:rPr>
      </w:pPr>
      <w:r>
        <w:rPr>
          <w:rFonts w:hint="eastAsia" w:ascii="宋体" w:hAnsi="宋体" w:cs="宋体"/>
          <w:color w:val="auto"/>
          <w:szCs w:val="21"/>
          <w:highlight w:val="none"/>
        </w:rPr>
        <w:t>附</w:t>
      </w:r>
      <w:bookmarkStart w:id="2610" w:name="_Toc296944571"/>
      <w:bookmarkStart w:id="2611" w:name="_Toc296891060"/>
      <w:bookmarkStart w:id="2612" w:name="_Toc296347231"/>
      <w:bookmarkStart w:id="2613" w:name="_Toc267261702"/>
      <w:bookmarkStart w:id="2614" w:name="_Toc296346733"/>
      <w:bookmarkStart w:id="2615" w:name="_Toc296503232"/>
      <w:bookmarkStart w:id="2616" w:name="_Toc296891272"/>
      <w:r>
        <w:rPr>
          <w:rFonts w:hint="eastAsia" w:ascii="宋体" w:hAnsi="宋体" w:cs="宋体"/>
          <w:color w:val="auto"/>
          <w:szCs w:val="21"/>
          <w:highlight w:val="none"/>
        </w:rPr>
        <w:t>件9 ：</w:t>
      </w:r>
    </w:p>
    <w:bookmarkEnd w:id="2610"/>
    <w:bookmarkEnd w:id="2611"/>
    <w:bookmarkEnd w:id="2612"/>
    <w:bookmarkEnd w:id="2613"/>
    <w:bookmarkEnd w:id="2614"/>
    <w:bookmarkEnd w:id="2615"/>
    <w:bookmarkEnd w:id="2616"/>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预付款担保</w:t>
      </w:r>
    </w:p>
    <w:p>
      <w:pPr>
        <w:spacing w:line="360" w:lineRule="auto"/>
        <w:rPr>
          <w:color w:val="auto"/>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rPr>
        <w:t xml:space="preserve"> （发包人名称）：</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根据（承包人名称）（以下称“承包人”）与</w:t>
      </w:r>
      <w:bookmarkStart w:id="2617" w:name="_Toc14896"/>
      <w:r>
        <w:rPr>
          <w:rFonts w:hint="eastAsia" w:ascii="宋体" w:hAnsi="宋体" w:cs="宋体"/>
          <w:color w:val="auto"/>
          <w:szCs w:val="21"/>
          <w:highlight w:val="none"/>
        </w:rPr>
        <w:t>（发包人名称）（以下简称“发包人”）</w:t>
      </w:r>
      <w:bookmarkEnd w:id="2617"/>
      <w:r>
        <w:rPr>
          <w:rFonts w:hint="eastAsia" w:ascii="宋体" w:hAnsi="宋体" w:cs="宋体"/>
          <w:color w:val="auto"/>
          <w:szCs w:val="21"/>
          <w:highlight w:val="none"/>
        </w:rPr>
        <w:t>于</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日签订的（工程名称）《建设工程施工合同》，承包人按约定的金额向你方提交一份预付款担保，即有权得到你方支付相等金额的预付款。我方愿意就你方提供给承包人的预付款为承包人提供连带责任担保。</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 担保金额人民币（大写）元（¥）。</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 担保有效期自预付款支付给承包人起生效，至你方签发的进度款支付证书说明已完全扣清止。</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 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 你方和承包人按合同约定变更合同时，我方承担本保函规定的义务不变。</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 因本保函发生的纠纷，可由双方协商解决，协商不成的，任何一方均可提请仲裁委员会仲裁。</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 本保函自我方法定代表人（或其授权代理人）签字并加盖公章之日起生效。</w:t>
      </w:r>
    </w:p>
    <w:p>
      <w:pPr>
        <w:spacing w:line="360" w:lineRule="auto"/>
        <w:rPr>
          <w:rFonts w:ascii="宋体" w:hAnsi="宋体" w:cs="宋体"/>
          <w:color w:val="auto"/>
          <w:szCs w:val="21"/>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担保人：（盖单位章）</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法定代表人或其委托代理人：（签字）</w:t>
      </w:r>
    </w:p>
    <w:p>
      <w:pPr>
        <w:spacing w:line="360" w:lineRule="auto"/>
        <w:rPr>
          <w:rFonts w:ascii="宋体" w:hAnsi="宋体" w:cs="宋体"/>
          <w:color w:val="auto"/>
          <w:szCs w:val="21"/>
          <w:highlight w:val="none"/>
        </w:rPr>
      </w:pPr>
      <w:r>
        <w:rPr>
          <w:rFonts w:hint="eastAsia" w:ascii="宋体" w:hAnsi="宋体" w:cs="宋体"/>
          <w:color w:val="auto"/>
          <w:szCs w:val="21"/>
          <w:highlight w:val="none"/>
        </w:rPr>
        <w:t>地    址：</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邮政编码：</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电    话：</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传    真：</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ab/>
      </w:r>
    </w:p>
    <w:p>
      <w:pPr>
        <w:spacing w:line="360" w:lineRule="auto"/>
        <w:rPr>
          <w:rFonts w:ascii="宋体" w:hAnsi="宋体" w:cs="宋体"/>
          <w:color w:val="auto"/>
          <w:szCs w:val="21"/>
          <w:highlight w:val="none"/>
        </w:rPr>
      </w:pPr>
    </w:p>
    <w:p>
      <w:pPr>
        <w:spacing w:line="360" w:lineRule="auto"/>
        <w:rPr>
          <w:rFonts w:ascii="宋体" w:hAnsi="宋体" w:cs="宋体"/>
          <w:color w:val="auto"/>
          <w:szCs w:val="21"/>
          <w:highlight w:val="none"/>
          <w:u w:val="singl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年月日</w:t>
      </w:r>
    </w:p>
    <w:p>
      <w:pPr>
        <w:spacing w:line="440" w:lineRule="exact"/>
        <w:rPr>
          <w:rFonts w:hint="eastAsia" w:ascii="宋体" w:hAnsi="宋体" w:cs="宋体"/>
          <w:color w:val="auto"/>
          <w:szCs w:val="21"/>
          <w:highlight w:val="none"/>
        </w:rPr>
      </w:pPr>
    </w:p>
    <w:p>
      <w:pPr>
        <w:spacing w:line="440" w:lineRule="exact"/>
        <w:rPr>
          <w:rFonts w:hint="eastAsia" w:ascii="宋体" w:hAnsi="宋体" w:cs="宋体"/>
          <w:color w:val="auto"/>
          <w:szCs w:val="21"/>
          <w:highlight w:val="none"/>
        </w:rPr>
      </w:pPr>
    </w:p>
    <w:p>
      <w:pPr>
        <w:spacing w:line="440" w:lineRule="exact"/>
        <w:rPr>
          <w:rFonts w:hint="eastAsia" w:ascii="宋体" w:hAnsi="宋体" w:cs="宋体"/>
          <w:color w:val="auto"/>
          <w:szCs w:val="21"/>
          <w:highlight w:val="none"/>
        </w:rPr>
      </w:pPr>
    </w:p>
    <w:p>
      <w:pPr>
        <w:spacing w:line="440" w:lineRule="exact"/>
        <w:rPr>
          <w:rFonts w:ascii="宋体" w:hAnsi="宋体" w:cs="宋体"/>
          <w:color w:val="auto"/>
          <w:szCs w:val="21"/>
          <w:highlight w:val="none"/>
        </w:rPr>
      </w:pPr>
      <w:r>
        <w:rPr>
          <w:rFonts w:hint="eastAsia" w:ascii="宋体" w:hAnsi="宋体" w:cs="宋体"/>
          <w:color w:val="auto"/>
          <w:szCs w:val="21"/>
          <w:highlight w:val="none"/>
        </w:rPr>
        <w:t>附</w:t>
      </w:r>
      <w:bookmarkStart w:id="2618" w:name="_Toc296346734"/>
      <w:bookmarkStart w:id="2619" w:name="_Toc296944572"/>
      <w:bookmarkStart w:id="2620" w:name="_Toc296503233"/>
      <w:bookmarkStart w:id="2621" w:name="_Toc296891273"/>
      <w:bookmarkStart w:id="2622" w:name="_Toc296347232"/>
      <w:bookmarkStart w:id="2623" w:name="_Toc296891061"/>
      <w:r>
        <w:rPr>
          <w:rFonts w:hint="eastAsia" w:ascii="宋体" w:hAnsi="宋体" w:cs="宋体"/>
          <w:color w:val="auto"/>
          <w:szCs w:val="21"/>
          <w:highlight w:val="none"/>
        </w:rPr>
        <w:t xml:space="preserve">件10:  </w:t>
      </w:r>
    </w:p>
    <w:bookmarkEnd w:id="2618"/>
    <w:bookmarkEnd w:id="2619"/>
    <w:bookmarkEnd w:id="2620"/>
    <w:bookmarkEnd w:id="2621"/>
    <w:bookmarkEnd w:id="2622"/>
    <w:bookmarkEnd w:id="2623"/>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支付担保</w:t>
      </w:r>
    </w:p>
    <w:p>
      <w:pPr>
        <w:spacing w:line="440" w:lineRule="exact"/>
        <w:jc w:val="left"/>
        <w:rPr>
          <w:rFonts w:ascii="宋体" w:hAnsi="宋体" w:cs="宋体"/>
          <w:color w:val="auto"/>
          <w:szCs w:val="21"/>
          <w:highlight w:val="none"/>
        </w:rPr>
      </w:pPr>
      <w:r>
        <w:rPr>
          <w:rFonts w:hint="eastAsia" w:ascii="宋体" w:hAnsi="宋体" w:cs="宋体"/>
          <w:color w:val="auto"/>
          <w:szCs w:val="21"/>
          <w:highlight w:val="none"/>
        </w:rPr>
        <w:t>（承包人）：</w:t>
      </w:r>
    </w:p>
    <w:p>
      <w:pPr>
        <w:spacing w:line="440" w:lineRule="exact"/>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鉴于你方作为承包人已经与（发包人名称）（以下称“发包人”）于年月日签订了（工程名称）《建设工程施工合同》（以下称“主合同”），应发包人的申请，我方愿就发包人履行主合同约定的工程款支付义务以保证的方式向你方提供如下担保：</w:t>
      </w:r>
    </w:p>
    <w:p>
      <w:pPr>
        <w:spacing w:line="360" w:lineRule="auto"/>
        <w:ind w:firstLine="420" w:firstLineChars="200"/>
        <w:jc w:val="left"/>
        <w:outlineLvl w:val="9"/>
        <w:rPr>
          <w:rFonts w:ascii="宋体" w:hAnsi="宋体" w:cs="宋体"/>
          <w:color w:val="auto"/>
          <w:szCs w:val="21"/>
          <w:highlight w:val="none"/>
        </w:rPr>
      </w:pPr>
      <w:bookmarkStart w:id="2624" w:name="_Toc27842"/>
      <w:bookmarkStart w:id="2625" w:name="_Toc109149892"/>
      <w:r>
        <w:rPr>
          <w:rFonts w:hint="eastAsia" w:ascii="宋体" w:hAnsi="宋体" w:cs="宋体"/>
          <w:color w:val="auto"/>
          <w:szCs w:val="21"/>
          <w:highlight w:val="none"/>
        </w:rPr>
        <w:t>一、保证的范围及保证金额</w:t>
      </w:r>
      <w:bookmarkEnd w:id="2624"/>
      <w:bookmarkEnd w:id="2625"/>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 我方的保证范围是主合同约定的工程款。</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 本保函所称主合同约定的工程款是指主合同约定的除工程质量保证金以外的合同价款。</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 我方保证的金额是主合同约定的工程款的%，数额最高不超过人民币元（大写：）。</w:t>
      </w:r>
    </w:p>
    <w:p>
      <w:pPr>
        <w:spacing w:line="360" w:lineRule="auto"/>
        <w:ind w:firstLine="420" w:firstLineChars="200"/>
        <w:jc w:val="left"/>
        <w:outlineLvl w:val="9"/>
        <w:rPr>
          <w:rFonts w:ascii="宋体" w:hAnsi="宋体" w:cs="宋体"/>
          <w:color w:val="auto"/>
          <w:szCs w:val="21"/>
          <w:highlight w:val="none"/>
        </w:rPr>
      </w:pPr>
      <w:bookmarkStart w:id="2626" w:name="_Toc19403"/>
      <w:bookmarkStart w:id="2627" w:name="_Toc109149893"/>
      <w:r>
        <w:rPr>
          <w:rFonts w:hint="eastAsia" w:ascii="宋体" w:hAnsi="宋体" w:cs="宋体"/>
          <w:color w:val="auto"/>
          <w:szCs w:val="21"/>
          <w:highlight w:val="none"/>
        </w:rPr>
        <w:t>二、保证的方式及保证期间</w:t>
      </w:r>
      <w:bookmarkEnd w:id="2626"/>
      <w:bookmarkEnd w:id="2627"/>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 我方保证的方式为：连带责任保证。</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 我方保证的期间为：自本合同生效之日起至主合同约定的工程款支付完毕之日后日内。</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 你方与发包人协议变更工程款支付日期的，经我方书面同意后，保证期间按照变更后的支付日期做相应调整。</w:t>
      </w:r>
    </w:p>
    <w:p>
      <w:pPr>
        <w:spacing w:line="360" w:lineRule="auto"/>
        <w:ind w:firstLine="420" w:firstLineChars="200"/>
        <w:jc w:val="left"/>
        <w:outlineLvl w:val="9"/>
        <w:rPr>
          <w:rFonts w:ascii="宋体" w:hAnsi="宋体" w:cs="宋体"/>
          <w:color w:val="auto"/>
          <w:szCs w:val="21"/>
          <w:highlight w:val="none"/>
        </w:rPr>
      </w:pPr>
      <w:bookmarkStart w:id="2628" w:name="_Toc109149894"/>
      <w:bookmarkStart w:id="2629" w:name="_Toc8352"/>
      <w:r>
        <w:rPr>
          <w:rFonts w:hint="eastAsia" w:ascii="宋体" w:hAnsi="宋体" w:cs="宋体"/>
          <w:color w:val="auto"/>
          <w:szCs w:val="21"/>
          <w:highlight w:val="none"/>
        </w:rPr>
        <w:t>三、承担保证责任的形式</w:t>
      </w:r>
      <w:bookmarkEnd w:id="2628"/>
      <w:bookmarkEnd w:id="2629"/>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我方承担保证责任的形式是代为支付。发包人未按主合同约定向你方支付工程款的，由我方在保证金额内代为支付。</w:t>
      </w:r>
    </w:p>
    <w:p>
      <w:pPr>
        <w:spacing w:line="360" w:lineRule="auto"/>
        <w:ind w:firstLine="420" w:firstLineChars="200"/>
        <w:jc w:val="left"/>
        <w:outlineLvl w:val="9"/>
        <w:rPr>
          <w:rFonts w:ascii="宋体" w:hAnsi="宋体" w:cs="宋体"/>
          <w:color w:val="auto"/>
          <w:szCs w:val="21"/>
          <w:highlight w:val="none"/>
        </w:rPr>
      </w:pPr>
      <w:bookmarkStart w:id="2630" w:name="_Toc109149895"/>
      <w:bookmarkStart w:id="2631" w:name="_Toc2495"/>
      <w:r>
        <w:rPr>
          <w:rFonts w:hint="eastAsia" w:ascii="宋体" w:hAnsi="宋体" w:cs="宋体"/>
          <w:color w:val="auto"/>
          <w:szCs w:val="21"/>
          <w:highlight w:val="none"/>
        </w:rPr>
        <w:t>四、代偿的安排</w:t>
      </w:r>
      <w:bookmarkEnd w:id="2630"/>
      <w:bookmarkEnd w:id="2631"/>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 你方要求我方承担保证责任的，应向我方发出书面索赔通知及发包人未支付主合同约定工程款的证明材料。索赔通知应写明要求索赔的金额，支付款项应到达的账号。</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 在出现你方与发包人因工程质量发生争议，发包人拒绝向你方支付工程款的情形时，你方要求我方履行保证责任代为支付的，需提供符合相应条件要求的工程质量检测机构出具的质量说明材料。</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 我方收到你方的书面索赔通知及相应的证明材料后７天内无条件支付。</w:t>
      </w:r>
    </w:p>
    <w:p>
      <w:pPr>
        <w:spacing w:line="360" w:lineRule="auto"/>
        <w:ind w:firstLine="420" w:firstLineChars="200"/>
        <w:jc w:val="left"/>
        <w:outlineLvl w:val="9"/>
        <w:rPr>
          <w:rFonts w:ascii="宋体" w:hAnsi="宋体" w:cs="宋体"/>
          <w:color w:val="auto"/>
          <w:szCs w:val="21"/>
          <w:highlight w:val="none"/>
        </w:rPr>
      </w:pPr>
      <w:bookmarkStart w:id="2632" w:name="_Toc7992"/>
      <w:bookmarkStart w:id="2633" w:name="_Toc109149896"/>
      <w:r>
        <w:rPr>
          <w:rFonts w:hint="eastAsia" w:ascii="宋体" w:hAnsi="宋体" w:cs="宋体"/>
          <w:color w:val="auto"/>
          <w:szCs w:val="21"/>
          <w:highlight w:val="none"/>
        </w:rPr>
        <w:t>五、保证责任的解除</w:t>
      </w:r>
      <w:bookmarkEnd w:id="2632"/>
      <w:bookmarkEnd w:id="2633"/>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 在本保函承诺的保证期间内，你方未书面向我方主张保证责任的，自保证期间届满次日起，我方保证责任解除。</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 发包人按主合同约定履行了工程款的全部支付义务的，自本保函承诺的保证期间届满次日起，我方保证责任解除。</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 我方按照本保函向你方履行保证责任所支付金额达到本保函保证金额时，自我方向你方支付（支付款项从我方账户划出）之日起，保证责任即解除。</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4. 按照法律法规的规定或出现应解除我方保证责任的其他情形的，我方在本保函项下的保证责任亦解除。</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5. 我方解除保证责任后，你方应自我方保证责任解除之日起个工作日内，将本保函原件返还我方。</w:t>
      </w:r>
    </w:p>
    <w:p>
      <w:pPr>
        <w:spacing w:line="360" w:lineRule="auto"/>
        <w:ind w:firstLine="420" w:firstLineChars="200"/>
        <w:jc w:val="left"/>
        <w:outlineLvl w:val="9"/>
        <w:rPr>
          <w:rFonts w:ascii="宋体" w:hAnsi="宋体" w:cs="宋体"/>
          <w:color w:val="auto"/>
          <w:szCs w:val="21"/>
          <w:highlight w:val="none"/>
        </w:rPr>
      </w:pPr>
      <w:bookmarkStart w:id="2634" w:name="_Toc109149897"/>
      <w:bookmarkStart w:id="2635" w:name="_Toc5437"/>
      <w:r>
        <w:rPr>
          <w:rFonts w:hint="eastAsia" w:ascii="宋体" w:hAnsi="宋体" w:cs="宋体"/>
          <w:color w:val="auto"/>
          <w:szCs w:val="21"/>
          <w:highlight w:val="none"/>
        </w:rPr>
        <w:t>六、免责条款</w:t>
      </w:r>
      <w:bookmarkEnd w:id="2634"/>
      <w:bookmarkEnd w:id="2635"/>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 因你方违约致使发包人不能履行义务的，我方不承担保证责任。</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 依照法律法规的规定或你方与发包人的另行约定，免除发包人部分或全部义务的，我方亦免除其相应的保证责任。</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3. 你方与发包人协议变更主合同的，如加重发包人责任致使我方保证责任加重的，需征得我方书面同意，否则我方不再承担因此而加重部分的保证责任，但主合同第10条〔变更〕约定的变更不受本款限制。</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4. 因不可抗力造成发包人不能履行义务的，我方不承担保证责任。</w:t>
      </w:r>
    </w:p>
    <w:p>
      <w:pPr>
        <w:spacing w:line="360" w:lineRule="auto"/>
        <w:ind w:firstLine="420" w:firstLineChars="200"/>
        <w:jc w:val="left"/>
        <w:outlineLvl w:val="9"/>
        <w:rPr>
          <w:rFonts w:ascii="宋体" w:hAnsi="宋体" w:cs="宋体"/>
          <w:color w:val="auto"/>
          <w:szCs w:val="21"/>
          <w:highlight w:val="none"/>
        </w:rPr>
      </w:pPr>
      <w:bookmarkStart w:id="2636" w:name="_Toc109149898"/>
      <w:bookmarkStart w:id="2637" w:name="_Toc21776"/>
      <w:r>
        <w:rPr>
          <w:rFonts w:hint="eastAsia" w:ascii="宋体" w:hAnsi="宋体" w:cs="宋体"/>
          <w:color w:val="auto"/>
          <w:szCs w:val="21"/>
          <w:highlight w:val="none"/>
        </w:rPr>
        <w:t>七、争议解决</w:t>
      </w:r>
      <w:bookmarkEnd w:id="2636"/>
      <w:bookmarkEnd w:id="2637"/>
    </w:p>
    <w:p>
      <w:pPr>
        <w:spacing w:after="120" w:line="360" w:lineRule="auto"/>
        <w:ind w:firstLine="420" w:firstLineChars="200"/>
        <w:outlineLvl w:val="9"/>
        <w:rPr>
          <w:rFonts w:ascii="宋体" w:hAnsi="宋体" w:cs="宋体"/>
          <w:color w:val="auto"/>
          <w:szCs w:val="21"/>
          <w:highlight w:val="none"/>
        </w:rPr>
      </w:pPr>
      <w:r>
        <w:rPr>
          <w:rFonts w:hint="eastAsia" w:ascii="宋体" w:hAnsi="宋体" w:cs="宋体"/>
          <w:color w:val="auto"/>
          <w:szCs w:val="21"/>
          <w:highlight w:val="none"/>
        </w:rPr>
        <w:t>因本保函或本保函相关事项发生的纠纷，可由双方协商解决，协商不成的，按下列第种方式解决：</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（1）向仲裁委员会申请仲裁；</w:t>
      </w:r>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（2）向人民法院起诉。</w:t>
      </w:r>
    </w:p>
    <w:p>
      <w:pPr>
        <w:spacing w:line="360" w:lineRule="auto"/>
        <w:ind w:firstLine="420" w:firstLineChars="200"/>
        <w:jc w:val="left"/>
        <w:outlineLvl w:val="9"/>
        <w:rPr>
          <w:rFonts w:ascii="宋体" w:hAnsi="宋体" w:cs="宋体"/>
          <w:color w:val="auto"/>
          <w:szCs w:val="21"/>
          <w:highlight w:val="none"/>
        </w:rPr>
      </w:pPr>
      <w:bookmarkStart w:id="2638" w:name="_Toc109149899"/>
      <w:bookmarkStart w:id="2639" w:name="_Toc8292"/>
      <w:r>
        <w:rPr>
          <w:rFonts w:hint="eastAsia" w:ascii="宋体" w:hAnsi="宋体" w:cs="宋体"/>
          <w:color w:val="auto"/>
          <w:szCs w:val="21"/>
          <w:highlight w:val="none"/>
        </w:rPr>
        <w:t>八、保函的生效</w:t>
      </w:r>
      <w:bookmarkEnd w:id="2638"/>
      <w:bookmarkEnd w:id="2639"/>
    </w:p>
    <w:p>
      <w:pPr>
        <w:spacing w:line="360" w:lineRule="auto"/>
        <w:ind w:firstLine="420" w:firstLineChars="200"/>
        <w:jc w:val="left"/>
        <w:outlineLvl w:val="9"/>
        <w:rPr>
          <w:rFonts w:ascii="宋体" w:hAnsi="宋体" w:cs="宋体"/>
          <w:color w:val="auto"/>
          <w:szCs w:val="21"/>
          <w:highlight w:val="none"/>
        </w:rPr>
      </w:pPr>
      <w:r>
        <w:rPr>
          <w:rFonts w:hint="eastAsia" w:ascii="宋体" w:hAnsi="宋体" w:cs="宋体"/>
          <w:color w:val="auto"/>
          <w:szCs w:val="21"/>
          <w:highlight w:val="none"/>
        </w:rPr>
        <w:t>本保函自我方法定代表人（或其授权代理人）签字并加盖公章之日起生效。</w:t>
      </w:r>
    </w:p>
    <w:p>
      <w:pPr>
        <w:spacing w:line="360" w:lineRule="auto"/>
        <w:ind w:right="600"/>
        <w:jc w:val="left"/>
        <w:outlineLvl w:val="9"/>
        <w:rPr>
          <w:rFonts w:ascii="宋体" w:hAnsi="宋体" w:cs="宋体"/>
          <w:color w:val="auto"/>
          <w:szCs w:val="21"/>
          <w:highlight w:val="none"/>
        </w:rPr>
      </w:pPr>
    </w:p>
    <w:p>
      <w:pPr>
        <w:ind w:right="600" w:firstLine="1995" w:firstLineChars="950"/>
        <w:jc w:val="left"/>
        <w:outlineLvl w:val="9"/>
        <w:rPr>
          <w:rFonts w:ascii="宋体" w:hAnsi="宋体" w:cs="宋体"/>
          <w:color w:val="auto"/>
          <w:szCs w:val="21"/>
          <w:highlight w:val="none"/>
        </w:rPr>
      </w:pPr>
      <w:r>
        <w:rPr>
          <w:rFonts w:hint="eastAsia" w:ascii="宋体" w:hAnsi="宋体" w:cs="宋体"/>
          <w:color w:val="auto"/>
          <w:szCs w:val="21"/>
          <w:highlight w:val="none"/>
        </w:rPr>
        <w:t>担保人：（盖章）</w:t>
      </w:r>
    </w:p>
    <w:p>
      <w:pPr>
        <w:ind w:right="1200" w:firstLine="1995" w:firstLineChars="950"/>
        <w:rPr>
          <w:rFonts w:ascii="宋体" w:hAnsi="宋体" w:cs="宋体"/>
          <w:color w:val="auto"/>
          <w:szCs w:val="21"/>
          <w:highlight w:val="none"/>
        </w:rPr>
      </w:pPr>
      <w:r>
        <w:rPr>
          <w:rFonts w:hint="eastAsia" w:ascii="宋体" w:hAnsi="宋体" w:cs="宋体"/>
          <w:color w:val="auto"/>
          <w:szCs w:val="21"/>
          <w:highlight w:val="none"/>
        </w:rPr>
        <w:t>法定代表人或委托代理人：（签字）</w:t>
      </w:r>
    </w:p>
    <w:p>
      <w:pPr>
        <w:ind w:firstLine="1995" w:firstLineChars="950"/>
        <w:jc w:val="left"/>
        <w:rPr>
          <w:rFonts w:ascii="宋体" w:hAnsi="宋体" w:cs="宋体"/>
          <w:color w:val="auto"/>
          <w:szCs w:val="21"/>
          <w:highlight w:val="none"/>
        </w:rPr>
      </w:pPr>
      <w:r>
        <w:rPr>
          <w:rFonts w:hint="eastAsia" w:ascii="宋体" w:hAnsi="宋体" w:cs="宋体"/>
          <w:color w:val="auto"/>
          <w:szCs w:val="21"/>
          <w:highlight w:val="none"/>
        </w:rPr>
        <w:t>地    址：</w:t>
      </w:r>
    </w:p>
    <w:p>
      <w:pPr>
        <w:ind w:firstLine="1995" w:firstLineChars="950"/>
        <w:jc w:val="left"/>
        <w:rPr>
          <w:rFonts w:ascii="宋体" w:hAnsi="宋体" w:cs="宋体"/>
          <w:color w:val="auto"/>
          <w:szCs w:val="21"/>
          <w:highlight w:val="none"/>
        </w:rPr>
      </w:pPr>
      <w:r>
        <w:rPr>
          <w:rFonts w:hint="eastAsia" w:ascii="宋体" w:hAnsi="宋体" w:cs="宋体"/>
          <w:color w:val="auto"/>
          <w:szCs w:val="21"/>
          <w:highlight w:val="none"/>
        </w:rPr>
        <w:t>邮政编码：</w:t>
      </w:r>
    </w:p>
    <w:p>
      <w:pPr>
        <w:ind w:firstLine="1995" w:firstLineChars="950"/>
        <w:jc w:val="left"/>
        <w:rPr>
          <w:rFonts w:ascii="宋体" w:hAnsi="宋体" w:cs="宋体"/>
          <w:color w:val="auto"/>
          <w:szCs w:val="21"/>
          <w:highlight w:val="none"/>
        </w:rPr>
      </w:pPr>
      <w:r>
        <w:rPr>
          <w:rFonts w:hint="eastAsia" w:ascii="宋体" w:hAnsi="宋体" w:cs="宋体"/>
          <w:color w:val="auto"/>
          <w:szCs w:val="21"/>
          <w:highlight w:val="none"/>
        </w:rPr>
        <w:t>传    真：</w:t>
      </w:r>
    </w:p>
    <w:p>
      <w:pPr>
        <w:ind w:right="150" w:firstLine="420" w:firstLineChars="200"/>
        <w:jc w:val="left"/>
        <w:rPr>
          <w:rFonts w:ascii="宋体" w:hAnsi="宋体" w:cs="宋体"/>
          <w:color w:val="auto"/>
          <w:szCs w:val="21"/>
          <w:highlight w:val="none"/>
          <w:u w:val="single"/>
        </w:rPr>
      </w:pPr>
    </w:p>
    <w:p>
      <w:pPr>
        <w:ind w:right="150"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年月日</w:t>
      </w:r>
    </w:p>
    <w:p>
      <w:pPr>
        <w:spacing w:line="440" w:lineRule="exact"/>
        <w:rPr>
          <w:rFonts w:ascii="宋体" w:hAnsi="宋体" w:cs="宋体"/>
          <w:color w:val="auto"/>
          <w:szCs w:val="21"/>
          <w:highlight w:val="none"/>
        </w:rPr>
      </w:pPr>
      <w:r>
        <w:rPr>
          <w:rFonts w:hint="eastAsia" w:ascii="宋体" w:hAnsi="宋体" w:cs="宋体"/>
          <w:color w:val="auto"/>
          <w:szCs w:val="21"/>
          <w:highlight w:val="none"/>
        </w:rPr>
        <w:br w:type="page"/>
      </w:r>
      <w:r>
        <w:rPr>
          <w:rFonts w:hint="eastAsia" w:ascii="宋体" w:hAnsi="宋体" w:cs="宋体"/>
          <w:color w:val="auto"/>
          <w:szCs w:val="21"/>
          <w:highlight w:val="none"/>
        </w:rPr>
        <w:t>附件11：</w:t>
      </w:r>
    </w:p>
    <w:p>
      <w:pPr>
        <w:spacing w:line="440" w:lineRule="exact"/>
        <w:jc w:val="center"/>
        <w:outlineLvl w:val="9"/>
        <w:rPr>
          <w:rFonts w:ascii="黑体" w:eastAsia="黑体"/>
          <w:color w:val="auto"/>
          <w:sz w:val="28"/>
          <w:szCs w:val="28"/>
          <w:highlight w:val="none"/>
        </w:rPr>
      </w:pPr>
      <w:bookmarkStart w:id="2640" w:name="_Toc3251"/>
      <w:bookmarkStart w:id="2641" w:name="_Toc109149900"/>
      <w:r>
        <w:rPr>
          <w:rFonts w:hint="eastAsia" w:ascii="黑体" w:eastAsia="黑体"/>
          <w:color w:val="auto"/>
          <w:sz w:val="28"/>
          <w:szCs w:val="28"/>
          <w:highlight w:val="none"/>
        </w:rPr>
        <w:t>11-1：材料暂估价表</w:t>
      </w:r>
      <w:bookmarkEnd w:id="2640"/>
      <w:bookmarkEnd w:id="2641"/>
    </w:p>
    <w:tbl>
      <w:tblPr>
        <w:tblStyle w:val="28"/>
        <w:tblW w:w="9073" w:type="dxa"/>
        <w:tblInd w:w="-11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984"/>
        <w:gridCol w:w="851"/>
        <w:gridCol w:w="774"/>
        <w:gridCol w:w="1352"/>
        <w:gridCol w:w="141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序号</w:t>
            </w:r>
          </w:p>
        </w:tc>
        <w:tc>
          <w:tcPr>
            <w:tcW w:w="1984"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名称</w:t>
            </w:r>
          </w:p>
        </w:tc>
        <w:tc>
          <w:tcPr>
            <w:tcW w:w="851"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单位</w:t>
            </w:r>
          </w:p>
        </w:tc>
        <w:tc>
          <w:tcPr>
            <w:tcW w:w="774"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数量</w:t>
            </w:r>
          </w:p>
        </w:tc>
        <w:tc>
          <w:tcPr>
            <w:tcW w:w="1352"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单价（元）</w:t>
            </w:r>
          </w:p>
        </w:tc>
        <w:tc>
          <w:tcPr>
            <w:tcW w:w="1418"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合价（元）</w:t>
            </w:r>
          </w:p>
        </w:tc>
        <w:tc>
          <w:tcPr>
            <w:tcW w:w="1701"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984"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851"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774"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352"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418"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701"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Borders>
              <w:top w:val="nil"/>
            </w:tcBorders>
          </w:tcPr>
          <w:p>
            <w:pPr>
              <w:pStyle w:val="8"/>
              <w:keepNext/>
              <w:spacing w:after="0" w:line="440" w:lineRule="exact"/>
              <w:ind w:left="63" w:right="63"/>
              <w:rPr>
                <w:rFonts w:ascii="宋体" w:hAnsi="宋体" w:cs="宋体"/>
                <w:color w:val="auto"/>
                <w:szCs w:val="21"/>
                <w:highlight w:val="none"/>
              </w:rPr>
            </w:pPr>
          </w:p>
        </w:tc>
        <w:tc>
          <w:tcPr>
            <w:tcW w:w="1984" w:type="dxa"/>
            <w:tcBorders>
              <w:top w:val="nil"/>
            </w:tcBorders>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tcPr>
          <w:p>
            <w:pPr>
              <w:pStyle w:val="8"/>
              <w:keepNext/>
              <w:spacing w:after="0" w:line="440" w:lineRule="exact"/>
              <w:ind w:left="63" w:right="63"/>
              <w:rPr>
                <w:rFonts w:ascii="宋体" w:hAnsi="宋体" w:cs="宋体"/>
                <w:color w:val="auto"/>
                <w:szCs w:val="21"/>
                <w:highlight w:val="none"/>
              </w:rPr>
            </w:pPr>
          </w:p>
        </w:tc>
        <w:tc>
          <w:tcPr>
            <w:tcW w:w="774" w:type="dxa"/>
            <w:tcBorders>
              <w:top w:val="nil"/>
            </w:tcBorders>
          </w:tcPr>
          <w:p>
            <w:pPr>
              <w:pStyle w:val="8"/>
              <w:keepNext/>
              <w:spacing w:after="0" w:line="440" w:lineRule="exact"/>
              <w:ind w:left="63" w:right="63"/>
              <w:rPr>
                <w:rFonts w:ascii="宋体" w:hAnsi="宋体" w:cs="宋体"/>
                <w:color w:val="auto"/>
                <w:szCs w:val="21"/>
                <w:highlight w:val="none"/>
              </w:rPr>
            </w:pPr>
          </w:p>
        </w:tc>
        <w:tc>
          <w:tcPr>
            <w:tcW w:w="1352" w:type="dxa"/>
            <w:tcBorders>
              <w:top w:val="nil"/>
            </w:tcBorders>
          </w:tcPr>
          <w:p>
            <w:pPr>
              <w:pStyle w:val="8"/>
              <w:keepNext/>
              <w:spacing w:after="0" w:line="440" w:lineRule="exact"/>
              <w:ind w:left="63" w:right="63"/>
              <w:rPr>
                <w:rFonts w:ascii="宋体" w:hAnsi="宋体" w:cs="宋体"/>
                <w:color w:val="auto"/>
                <w:szCs w:val="21"/>
                <w:highlight w:val="none"/>
              </w:rPr>
            </w:pPr>
          </w:p>
        </w:tc>
        <w:tc>
          <w:tcPr>
            <w:tcW w:w="1418" w:type="dxa"/>
            <w:tcBorders>
              <w:top w:val="nil"/>
            </w:tcBorders>
          </w:tcPr>
          <w:p>
            <w:pPr>
              <w:pStyle w:val="8"/>
              <w:keepNext/>
              <w:spacing w:after="0" w:line="440" w:lineRule="exact"/>
              <w:ind w:left="63" w:right="63"/>
              <w:rPr>
                <w:rFonts w:ascii="宋体" w:hAnsi="宋体" w:cs="宋体"/>
                <w:color w:val="auto"/>
                <w:szCs w:val="21"/>
                <w:highlight w:val="none"/>
              </w:rPr>
            </w:pPr>
          </w:p>
        </w:tc>
        <w:tc>
          <w:tcPr>
            <w:tcW w:w="1701" w:type="dxa"/>
            <w:tcBorders>
              <w:top w:val="nil"/>
            </w:tcBorders>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bl>
    <w:p>
      <w:pPr>
        <w:spacing w:beforeLines="50" w:afterLines="50" w:line="440" w:lineRule="exact"/>
        <w:rPr>
          <w:rFonts w:ascii="宋体" w:hAnsi="宋体" w:cs="宋体"/>
          <w:color w:val="auto"/>
          <w:szCs w:val="21"/>
          <w:highlight w:val="none"/>
        </w:rPr>
      </w:pPr>
    </w:p>
    <w:p>
      <w:pPr>
        <w:spacing w:line="360" w:lineRule="auto"/>
        <w:rPr>
          <w:color w:val="auto"/>
          <w:highlight w:val="none"/>
        </w:rPr>
      </w:pPr>
    </w:p>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11-2：工程设备暂估价表</w:t>
      </w:r>
    </w:p>
    <w:tbl>
      <w:tblPr>
        <w:tblStyle w:val="28"/>
        <w:tblW w:w="9073" w:type="dxa"/>
        <w:tblInd w:w="-11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984"/>
        <w:gridCol w:w="851"/>
        <w:gridCol w:w="774"/>
        <w:gridCol w:w="1352"/>
        <w:gridCol w:w="141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序号</w:t>
            </w:r>
          </w:p>
        </w:tc>
        <w:tc>
          <w:tcPr>
            <w:tcW w:w="1984"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名称</w:t>
            </w:r>
          </w:p>
        </w:tc>
        <w:tc>
          <w:tcPr>
            <w:tcW w:w="851"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单位</w:t>
            </w:r>
          </w:p>
        </w:tc>
        <w:tc>
          <w:tcPr>
            <w:tcW w:w="774"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数量</w:t>
            </w:r>
          </w:p>
        </w:tc>
        <w:tc>
          <w:tcPr>
            <w:tcW w:w="1352"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单价（元）</w:t>
            </w:r>
          </w:p>
        </w:tc>
        <w:tc>
          <w:tcPr>
            <w:tcW w:w="1418"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合价（元）</w:t>
            </w:r>
          </w:p>
        </w:tc>
        <w:tc>
          <w:tcPr>
            <w:tcW w:w="1701"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984"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851"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774"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352"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418"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701"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Borders>
              <w:top w:val="nil"/>
            </w:tcBorders>
          </w:tcPr>
          <w:p>
            <w:pPr>
              <w:pStyle w:val="8"/>
              <w:keepNext/>
              <w:spacing w:after="0" w:line="440" w:lineRule="exact"/>
              <w:ind w:left="63" w:right="63"/>
              <w:rPr>
                <w:rFonts w:ascii="宋体" w:hAnsi="宋体" w:cs="宋体"/>
                <w:color w:val="auto"/>
                <w:szCs w:val="21"/>
                <w:highlight w:val="none"/>
              </w:rPr>
            </w:pPr>
          </w:p>
        </w:tc>
        <w:tc>
          <w:tcPr>
            <w:tcW w:w="1984" w:type="dxa"/>
            <w:tcBorders>
              <w:top w:val="nil"/>
            </w:tcBorders>
          </w:tcPr>
          <w:p>
            <w:pPr>
              <w:pStyle w:val="8"/>
              <w:keepNext/>
              <w:spacing w:after="0" w:line="440" w:lineRule="exact"/>
              <w:ind w:left="63" w:right="63"/>
              <w:rPr>
                <w:rFonts w:ascii="宋体" w:hAnsi="宋体" w:cs="宋体"/>
                <w:color w:val="auto"/>
                <w:szCs w:val="21"/>
                <w:highlight w:val="none"/>
              </w:rPr>
            </w:pPr>
          </w:p>
        </w:tc>
        <w:tc>
          <w:tcPr>
            <w:tcW w:w="851" w:type="dxa"/>
            <w:tcBorders>
              <w:top w:val="nil"/>
            </w:tcBorders>
          </w:tcPr>
          <w:p>
            <w:pPr>
              <w:pStyle w:val="8"/>
              <w:keepNext/>
              <w:spacing w:after="0" w:line="440" w:lineRule="exact"/>
              <w:ind w:left="63" w:right="63"/>
              <w:rPr>
                <w:rFonts w:ascii="宋体" w:hAnsi="宋体" w:cs="宋体"/>
                <w:color w:val="auto"/>
                <w:szCs w:val="21"/>
                <w:highlight w:val="none"/>
              </w:rPr>
            </w:pPr>
          </w:p>
        </w:tc>
        <w:tc>
          <w:tcPr>
            <w:tcW w:w="774" w:type="dxa"/>
            <w:tcBorders>
              <w:top w:val="nil"/>
            </w:tcBorders>
          </w:tcPr>
          <w:p>
            <w:pPr>
              <w:pStyle w:val="8"/>
              <w:keepNext/>
              <w:spacing w:after="0" w:line="440" w:lineRule="exact"/>
              <w:ind w:left="63" w:right="63"/>
              <w:rPr>
                <w:rFonts w:ascii="宋体" w:hAnsi="宋体" w:cs="宋体"/>
                <w:color w:val="auto"/>
                <w:szCs w:val="21"/>
                <w:highlight w:val="none"/>
              </w:rPr>
            </w:pPr>
          </w:p>
        </w:tc>
        <w:tc>
          <w:tcPr>
            <w:tcW w:w="1352" w:type="dxa"/>
            <w:tcBorders>
              <w:top w:val="nil"/>
            </w:tcBorders>
          </w:tcPr>
          <w:p>
            <w:pPr>
              <w:pStyle w:val="8"/>
              <w:keepNext/>
              <w:spacing w:after="0" w:line="440" w:lineRule="exact"/>
              <w:ind w:left="63" w:right="63"/>
              <w:rPr>
                <w:rFonts w:ascii="宋体" w:hAnsi="宋体" w:cs="宋体"/>
                <w:color w:val="auto"/>
                <w:szCs w:val="21"/>
                <w:highlight w:val="none"/>
              </w:rPr>
            </w:pPr>
          </w:p>
        </w:tc>
        <w:tc>
          <w:tcPr>
            <w:tcW w:w="1418" w:type="dxa"/>
            <w:tcBorders>
              <w:top w:val="nil"/>
            </w:tcBorders>
          </w:tcPr>
          <w:p>
            <w:pPr>
              <w:pStyle w:val="8"/>
              <w:keepNext/>
              <w:spacing w:after="0" w:line="440" w:lineRule="exact"/>
              <w:ind w:left="63" w:right="63"/>
              <w:rPr>
                <w:rFonts w:ascii="宋体" w:hAnsi="宋体" w:cs="宋体"/>
                <w:color w:val="auto"/>
                <w:szCs w:val="21"/>
                <w:highlight w:val="none"/>
              </w:rPr>
            </w:pPr>
          </w:p>
        </w:tc>
        <w:tc>
          <w:tcPr>
            <w:tcW w:w="1701" w:type="dxa"/>
            <w:tcBorders>
              <w:top w:val="nil"/>
            </w:tcBorders>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993"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851" w:type="dxa"/>
          </w:tcPr>
          <w:p>
            <w:pPr>
              <w:pStyle w:val="8"/>
              <w:keepNext/>
              <w:spacing w:after="0" w:line="440" w:lineRule="exact"/>
              <w:ind w:left="63" w:right="63"/>
              <w:rPr>
                <w:rFonts w:ascii="宋体" w:hAnsi="宋体" w:cs="宋体"/>
                <w:color w:val="auto"/>
                <w:szCs w:val="21"/>
                <w:highlight w:val="none"/>
              </w:rPr>
            </w:pPr>
          </w:p>
        </w:tc>
        <w:tc>
          <w:tcPr>
            <w:tcW w:w="774" w:type="dxa"/>
          </w:tcPr>
          <w:p>
            <w:pPr>
              <w:pStyle w:val="8"/>
              <w:keepNext/>
              <w:spacing w:after="0" w:line="440" w:lineRule="exact"/>
              <w:ind w:left="63" w:right="63"/>
              <w:rPr>
                <w:rFonts w:ascii="宋体" w:hAnsi="宋体" w:cs="宋体"/>
                <w:color w:val="auto"/>
                <w:szCs w:val="21"/>
                <w:highlight w:val="none"/>
              </w:rPr>
            </w:pPr>
          </w:p>
        </w:tc>
        <w:tc>
          <w:tcPr>
            <w:tcW w:w="1352" w:type="dxa"/>
          </w:tcPr>
          <w:p>
            <w:pPr>
              <w:pStyle w:val="8"/>
              <w:keepNext/>
              <w:spacing w:after="0" w:line="440" w:lineRule="exact"/>
              <w:ind w:left="63" w:right="63"/>
              <w:rPr>
                <w:rFonts w:ascii="宋体" w:hAnsi="宋体" w:cs="宋体"/>
                <w:color w:val="auto"/>
                <w:szCs w:val="21"/>
                <w:highlight w:val="none"/>
              </w:rPr>
            </w:pPr>
          </w:p>
        </w:tc>
        <w:tc>
          <w:tcPr>
            <w:tcW w:w="1418" w:type="dxa"/>
          </w:tcPr>
          <w:p>
            <w:pPr>
              <w:pStyle w:val="8"/>
              <w:keepNext/>
              <w:spacing w:after="0" w:line="440" w:lineRule="exact"/>
              <w:ind w:left="63" w:right="63"/>
              <w:rPr>
                <w:rFonts w:ascii="宋体" w:hAnsi="宋体" w:cs="宋体"/>
                <w:color w:val="auto"/>
                <w:szCs w:val="21"/>
                <w:highlight w:val="none"/>
              </w:rPr>
            </w:pPr>
          </w:p>
        </w:tc>
        <w:tc>
          <w:tcPr>
            <w:tcW w:w="1701" w:type="dxa"/>
          </w:tcPr>
          <w:p>
            <w:pPr>
              <w:pStyle w:val="8"/>
              <w:keepNext/>
              <w:spacing w:after="0" w:line="440" w:lineRule="exact"/>
              <w:ind w:left="63" w:right="63"/>
              <w:rPr>
                <w:rFonts w:ascii="宋体" w:hAnsi="宋体" w:cs="宋体"/>
                <w:color w:val="auto"/>
                <w:szCs w:val="21"/>
                <w:highlight w:val="none"/>
              </w:rPr>
            </w:pPr>
          </w:p>
        </w:tc>
      </w:tr>
    </w:tbl>
    <w:p>
      <w:pPr>
        <w:spacing w:line="440" w:lineRule="exact"/>
        <w:rPr>
          <w:rFonts w:ascii="宋体" w:hAnsi="宋体" w:cs="宋体"/>
          <w:color w:val="auto"/>
          <w:szCs w:val="21"/>
          <w:highlight w:val="none"/>
        </w:rPr>
      </w:pPr>
    </w:p>
    <w:p>
      <w:pPr>
        <w:spacing w:line="440" w:lineRule="exact"/>
        <w:jc w:val="center"/>
        <w:rPr>
          <w:rFonts w:ascii="宋体" w:hAnsi="宋体" w:cs="宋体"/>
          <w:color w:val="auto"/>
          <w:szCs w:val="21"/>
          <w:highlight w:val="none"/>
        </w:rPr>
      </w:pPr>
      <w:r>
        <w:rPr>
          <w:rFonts w:hint="eastAsia" w:ascii="宋体" w:hAnsi="宋体" w:cs="宋体"/>
          <w:color w:val="auto"/>
          <w:szCs w:val="21"/>
          <w:highlight w:val="none"/>
        </w:rPr>
        <w:br w:type="page"/>
      </w:r>
      <w:r>
        <w:rPr>
          <w:rFonts w:hint="eastAsia" w:ascii="黑体" w:eastAsia="黑体"/>
          <w:color w:val="auto"/>
          <w:sz w:val="28"/>
          <w:szCs w:val="28"/>
          <w:highlight w:val="none"/>
        </w:rPr>
        <w:t>11-3：专业工程暂估价表</w:t>
      </w:r>
    </w:p>
    <w:tbl>
      <w:tblPr>
        <w:tblStyle w:val="28"/>
        <w:tblW w:w="881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79"/>
        <w:gridCol w:w="1984"/>
        <w:gridCol w:w="4678"/>
        <w:gridCol w:w="12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序号</w:t>
            </w:r>
          </w:p>
        </w:tc>
        <w:tc>
          <w:tcPr>
            <w:tcW w:w="1984"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专业工程名称</w:t>
            </w:r>
          </w:p>
        </w:tc>
        <w:tc>
          <w:tcPr>
            <w:tcW w:w="4678"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工程内容</w:t>
            </w:r>
          </w:p>
        </w:tc>
        <w:tc>
          <w:tcPr>
            <w:tcW w:w="1276" w:type="dxa"/>
            <w:tcBorders>
              <w:top w:val="single" w:color="auto" w:sz="12" w:space="0"/>
              <w:bottom w:val="double" w:color="auto" w:sz="6" w:space="0"/>
            </w:tcBorders>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984"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4678"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c>
          <w:tcPr>
            <w:tcW w:w="1276" w:type="dxa"/>
            <w:tcBorders>
              <w:top w:val="double" w:color="auto" w:sz="6" w:space="0"/>
              <w:bottom w:val="single" w:color="auto" w:sz="6" w:space="0"/>
            </w:tcBorders>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Borders>
              <w:top w:val="nil"/>
            </w:tcBorders>
          </w:tcPr>
          <w:p>
            <w:pPr>
              <w:pStyle w:val="8"/>
              <w:keepNext/>
              <w:spacing w:after="0" w:line="440" w:lineRule="exact"/>
              <w:ind w:left="63" w:right="63"/>
              <w:rPr>
                <w:rFonts w:ascii="宋体" w:hAnsi="宋体" w:cs="宋体"/>
                <w:color w:val="auto"/>
                <w:szCs w:val="21"/>
                <w:highlight w:val="none"/>
              </w:rPr>
            </w:pPr>
          </w:p>
        </w:tc>
        <w:tc>
          <w:tcPr>
            <w:tcW w:w="1984" w:type="dxa"/>
            <w:tcBorders>
              <w:top w:val="nil"/>
            </w:tcBorders>
          </w:tcPr>
          <w:p>
            <w:pPr>
              <w:pStyle w:val="8"/>
              <w:keepNext/>
              <w:spacing w:after="0" w:line="440" w:lineRule="exact"/>
              <w:ind w:left="63" w:right="63"/>
              <w:rPr>
                <w:rFonts w:ascii="宋体" w:hAnsi="宋体" w:cs="宋体"/>
                <w:color w:val="auto"/>
                <w:szCs w:val="21"/>
                <w:highlight w:val="none"/>
              </w:rPr>
            </w:pPr>
          </w:p>
        </w:tc>
        <w:tc>
          <w:tcPr>
            <w:tcW w:w="4678" w:type="dxa"/>
            <w:tcBorders>
              <w:top w:val="nil"/>
            </w:tcBorders>
          </w:tcPr>
          <w:p>
            <w:pPr>
              <w:pStyle w:val="8"/>
              <w:keepNext/>
              <w:spacing w:after="0" w:line="440" w:lineRule="exact"/>
              <w:ind w:left="63" w:right="63"/>
              <w:rPr>
                <w:rFonts w:ascii="宋体" w:hAnsi="宋体" w:cs="宋体"/>
                <w:color w:val="auto"/>
                <w:szCs w:val="21"/>
                <w:highlight w:val="none"/>
              </w:rPr>
            </w:pPr>
          </w:p>
        </w:tc>
        <w:tc>
          <w:tcPr>
            <w:tcW w:w="1276" w:type="dxa"/>
            <w:tcBorders>
              <w:top w:val="nil"/>
            </w:tcBorders>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Borders>
              <w:top w:val="nil"/>
            </w:tcBorders>
          </w:tcPr>
          <w:p>
            <w:pPr>
              <w:pStyle w:val="8"/>
              <w:keepNext/>
              <w:spacing w:after="0" w:line="440" w:lineRule="exact"/>
              <w:ind w:left="63" w:right="63"/>
              <w:rPr>
                <w:rFonts w:ascii="宋体" w:hAnsi="宋体" w:cs="宋体"/>
                <w:color w:val="auto"/>
                <w:szCs w:val="21"/>
                <w:highlight w:val="none"/>
              </w:rPr>
            </w:pPr>
          </w:p>
        </w:tc>
        <w:tc>
          <w:tcPr>
            <w:tcW w:w="1984" w:type="dxa"/>
            <w:tcBorders>
              <w:top w:val="nil"/>
            </w:tcBorders>
          </w:tcPr>
          <w:p>
            <w:pPr>
              <w:pStyle w:val="8"/>
              <w:keepNext/>
              <w:spacing w:after="0" w:line="440" w:lineRule="exact"/>
              <w:ind w:left="63" w:right="63"/>
              <w:rPr>
                <w:rFonts w:ascii="宋体" w:hAnsi="宋体" w:cs="宋体"/>
                <w:color w:val="auto"/>
                <w:szCs w:val="21"/>
                <w:highlight w:val="none"/>
              </w:rPr>
            </w:pPr>
          </w:p>
        </w:tc>
        <w:tc>
          <w:tcPr>
            <w:tcW w:w="4678" w:type="dxa"/>
            <w:tcBorders>
              <w:top w:val="nil"/>
            </w:tcBorders>
          </w:tcPr>
          <w:p>
            <w:pPr>
              <w:pStyle w:val="8"/>
              <w:keepNext/>
              <w:spacing w:after="0" w:line="440" w:lineRule="exact"/>
              <w:ind w:left="63" w:right="63"/>
              <w:rPr>
                <w:rFonts w:ascii="宋体" w:hAnsi="宋体" w:cs="宋体"/>
                <w:color w:val="auto"/>
                <w:szCs w:val="21"/>
                <w:highlight w:val="none"/>
              </w:rPr>
            </w:pPr>
          </w:p>
        </w:tc>
        <w:tc>
          <w:tcPr>
            <w:tcW w:w="1276" w:type="dxa"/>
            <w:tcBorders>
              <w:top w:val="nil"/>
            </w:tcBorders>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79" w:type="dxa"/>
          </w:tcPr>
          <w:p>
            <w:pPr>
              <w:pStyle w:val="8"/>
              <w:keepNext/>
              <w:spacing w:after="0" w:line="440" w:lineRule="exact"/>
              <w:ind w:left="63" w:right="63"/>
              <w:rPr>
                <w:rFonts w:ascii="宋体" w:hAnsi="宋体" w:cs="宋体"/>
                <w:color w:val="auto"/>
                <w:szCs w:val="21"/>
                <w:highlight w:val="none"/>
              </w:rPr>
            </w:pPr>
          </w:p>
        </w:tc>
        <w:tc>
          <w:tcPr>
            <w:tcW w:w="1984" w:type="dxa"/>
          </w:tcPr>
          <w:p>
            <w:pPr>
              <w:pStyle w:val="8"/>
              <w:keepNext/>
              <w:spacing w:after="0" w:line="440" w:lineRule="exact"/>
              <w:ind w:left="63" w:right="63"/>
              <w:rPr>
                <w:rFonts w:ascii="宋体" w:hAnsi="宋体" w:cs="宋体"/>
                <w:color w:val="auto"/>
                <w:szCs w:val="21"/>
                <w:highlight w:val="none"/>
              </w:rPr>
            </w:pPr>
          </w:p>
        </w:tc>
        <w:tc>
          <w:tcPr>
            <w:tcW w:w="4678" w:type="dxa"/>
          </w:tcPr>
          <w:p>
            <w:pPr>
              <w:pStyle w:val="8"/>
              <w:keepNext/>
              <w:spacing w:after="0" w:line="440" w:lineRule="exact"/>
              <w:ind w:left="63" w:right="63"/>
              <w:rPr>
                <w:rFonts w:ascii="宋体" w:hAnsi="宋体" w:cs="宋体"/>
                <w:color w:val="auto"/>
                <w:szCs w:val="21"/>
                <w:highlight w:val="none"/>
              </w:rPr>
            </w:pPr>
          </w:p>
        </w:tc>
        <w:tc>
          <w:tcPr>
            <w:tcW w:w="1276" w:type="dxa"/>
          </w:tcPr>
          <w:p>
            <w:pPr>
              <w:pStyle w:val="8"/>
              <w:keepNext/>
              <w:spacing w:after="0" w:line="440" w:lineRule="exact"/>
              <w:ind w:left="63" w:right="63"/>
              <w:rPr>
                <w:rFonts w:ascii="宋体" w:hAnsi="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c>
          <w:tcPr>
            <w:tcW w:w="8817" w:type="dxa"/>
            <w:gridSpan w:val="4"/>
          </w:tcPr>
          <w:p>
            <w:pPr>
              <w:pStyle w:val="8"/>
              <w:keepNext/>
              <w:spacing w:after="0" w:line="440" w:lineRule="exact"/>
              <w:ind w:left="63" w:right="63"/>
              <w:rPr>
                <w:rFonts w:ascii="宋体" w:hAnsi="宋体" w:cs="宋体"/>
                <w:color w:val="auto"/>
                <w:szCs w:val="21"/>
                <w:highlight w:val="none"/>
              </w:rPr>
            </w:pPr>
            <w:r>
              <w:rPr>
                <w:rFonts w:hint="eastAsia" w:ascii="宋体" w:hAnsi="宋体" w:cs="宋体"/>
                <w:color w:val="auto"/>
                <w:szCs w:val="21"/>
                <w:highlight w:val="none"/>
              </w:rPr>
              <w:t>小计：</w:t>
            </w:r>
          </w:p>
        </w:tc>
      </w:tr>
    </w:tbl>
    <w:p>
      <w:pPr>
        <w:rPr>
          <w:rFonts w:ascii="宋体" w:hAnsi="宋体" w:cs="宋体"/>
          <w:color w:val="auto"/>
          <w:szCs w:val="21"/>
          <w:highlight w:val="none"/>
        </w:rPr>
      </w:pPr>
    </w:p>
    <w:bookmarkEnd w:id="1460"/>
    <w:bookmarkEnd w:id="1461"/>
    <w:bookmarkEnd w:id="1462"/>
    <w:bookmarkEnd w:id="1463"/>
    <w:bookmarkEnd w:id="1464"/>
    <w:bookmarkEnd w:id="1465"/>
    <w:bookmarkEnd w:id="1466"/>
    <w:bookmarkEnd w:id="1467"/>
    <w:p>
      <w:pPr>
        <w:pStyle w:val="3"/>
        <w:spacing w:before="120" w:after="120" w:line="400" w:lineRule="exact"/>
        <w:jc w:val="center"/>
        <w:outlineLvl w:val="1"/>
        <w:rPr>
          <w:rFonts w:hint="eastAsia" w:ascii="黑体" w:hAnsi="黑体" w:eastAsia="黑体"/>
          <w:b w:val="0"/>
          <w:bCs w:val="0"/>
          <w:color w:val="auto"/>
          <w:sz w:val="32"/>
          <w:highlight w:val="none"/>
        </w:rPr>
      </w:pPr>
      <w:bookmarkStart w:id="2642" w:name="_Toc31399372"/>
      <w:bookmarkStart w:id="2643" w:name="_Toc222031046"/>
      <w:bookmarkStart w:id="2644" w:name="_Toc221951336"/>
      <w:bookmarkStart w:id="2645" w:name="_Toc18732"/>
      <w:bookmarkStart w:id="2646" w:name="_Toc222033895"/>
      <w:bookmarkStart w:id="2647" w:name="_Toc20689"/>
      <w:bookmarkStart w:id="2648" w:name="_Toc222029544"/>
      <w:bookmarkStart w:id="2649" w:name="_Toc150144173"/>
      <w:bookmarkStart w:id="2650" w:name="_Toc387753612"/>
      <w:bookmarkStart w:id="2651" w:name="_Toc229305403"/>
      <w:bookmarkStart w:id="2652" w:name="_Toc29838"/>
      <w:bookmarkStart w:id="2653" w:name="_Toc222032713"/>
      <w:bookmarkStart w:id="2654" w:name="_Toc3285"/>
      <w:bookmarkStart w:id="2655" w:name="_Toc5760"/>
      <w:bookmarkStart w:id="2656" w:name="_Toc5229"/>
      <w:r>
        <w:rPr>
          <w:rFonts w:hint="eastAsia" w:ascii="黑体" w:hAnsi="黑体"/>
          <w:b w:val="0"/>
          <w:bCs w:val="0"/>
          <w:color w:val="auto"/>
          <w:sz w:val="32"/>
          <w:highlight w:val="none"/>
          <w:lang w:eastAsia="zh-CN"/>
        </w:rPr>
        <w:t>第五章</w:t>
      </w:r>
      <w:r>
        <w:rPr>
          <w:rFonts w:hint="eastAsia" w:ascii="黑体" w:hAnsi="黑体" w:eastAsia="黑体"/>
          <w:b w:val="0"/>
          <w:bCs w:val="0"/>
          <w:color w:val="auto"/>
          <w:sz w:val="32"/>
          <w:highlight w:val="none"/>
        </w:rPr>
        <w:t xml:space="preserve">  工程量清单</w:t>
      </w:r>
      <w:bookmarkEnd w:id="1448"/>
      <w:bookmarkEnd w:id="1449"/>
      <w:bookmarkEnd w:id="1450"/>
      <w:bookmarkEnd w:id="2642"/>
      <w:bookmarkEnd w:id="2643"/>
      <w:bookmarkEnd w:id="2644"/>
      <w:bookmarkEnd w:id="2645"/>
      <w:bookmarkEnd w:id="2646"/>
      <w:bookmarkEnd w:id="2647"/>
      <w:bookmarkEnd w:id="2648"/>
      <w:bookmarkEnd w:id="2649"/>
      <w:bookmarkEnd w:id="2650"/>
      <w:bookmarkEnd w:id="2651"/>
      <w:bookmarkEnd w:id="2652"/>
      <w:bookmarkEnd w:id="2653"/>
      <w:bookmarkEnd w:id="2654"/>
      <w:bookmarkEnd w:id="2655"/>
      <w:bookmarkEnd w:id="2656"/>
    </w:p>
    <w:p>
      <w:pPr>
        <w:rPr>
          <w:color w:val="auto"/>
          <w:highlight w:val="none"/>
        </w:rPr>
      </w:pPr>
    </w:p>
    <w:p>
      <w:pPr>
        <w:rPr>
          <w:rFonts w:ascii="宋体" w:hAnsi="宋体" w:cs="宋体"/>
          <w:b/>
          <w:bCs/>
          <w:color w:val="auto"/>
          <w:sz w:val="32"/>
          <w:highlight w:val="none"/>
        </w:rPr>
      </w:pPr>
      <w:bookmarkStart w:id="2657" w:name="_Toc222031060"/>
      <w:bookmarkStart w:id="2658" w:name="_Toc144974855"/>
      <w:bookmarkStart w:id="2659" w:name="_Toc222029558"/>
      <w:bookmarkStart w:id="2660" w:name="_Toc168475913"/>
      <w:bookmarkStart w:id="2661" w:name="_Toc168476316"/>
      <w:bookmarkStart w:id="2662" w:name="_Toc222032727"/>
      <w:bookmarkStart w:id="2663" w:name="_Toc221951909"/>
      <w:bookmarkStart w:id="2664" w:name="_Toc229305417"/>
      <w:bookmarkStart w:id="2665" w:name="_Toc222033909"/>
    </w:p>
    <w:p>
      <w:pPr>
        <w:rPr>
          <w:rFonts w:hint="default" w:ascii="宋体" w:hAnsi="宋体" w:eastAsia="宋体" w:cs="宋体"/>
          <w:b/>
          <w:bCs/>
          <w:color w:val="auto"/>
          <w:sz w:val="24"/>
          <w:szCs w:val="21"/>
          <w:highlight w:val="none"/>
          <w:lang w:val="en-US" w:eastAsia="zh-CN"/>
        </w:rPr>
      </w:pPr>
      <w:r>
        <w:rPr>
          <w:rFonts w:hint="eastAsia" w:ascii="宋体" w:hAnsi="宋体" w:cs="宋体"/>
          <w:b/>
          <w:bCs/>
          <w:color w:val="auto"/>
          <w:sz w:val="24"/>
          <w:szCs w:val="21"/>
          <w:highlight w:val="none"/>
          <w:lang w:val="en-US" w:eastAsia="zh-CN"/>
        </w:rPr>
        <w:t>注：本章由招标人自行制定。</w:t>
      </w: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outlineLvl w:val="9"/>
        <w:rPr>
          <w:rFonts w:ascii="宋体" w:hAnsi="宋体" w:cs="宋体"/>
          <w:b/>
          <w:bCs/>
          <w:color w:val="auto"/>
          <w:sz w:val="32"/>
          <w:highlight w:val="none"/>
        </w:rPr>
      </w:pPr>
    </w:p>
    <w:p>
      <w:pPr>
        <w:rPr>
          <w:rFonts w:ascii="宋体" w:hAnsi="宋体" w:cs="宋体"/>
          <w:b/>
          <w:bCs/>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bookmarkStart w:id="2666" w:name="_Toc387753618"/>
      <w:bookmarkStart w:id="2667" w:name="_Toc22665"/>
      <w:bookmarkStart w:id="2668" w:name="_Toc19156"/>
      <w:bookmarkStart w:id="2669" w:name="_Toc22433"/>
      <w:bookmarkStart w:id="2670" w:name="_Toc21416"/>
      <w:bookmarkStart w:id="2671" w:name="_Toc712044873"/>
      <w:bookmarkStart w:id="2672" w:name="_Toc12357"/>
      <w:bookmarkStart w:id="2673" w:name="_Toc2083643462"/>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pStyle w:val="2"/>
        <w:spacing w:before="120" w:after="120" w:line="400" w:lineRule="exact"/>
        <w:rPr>
          <w:rFonts w:ascii="黑体" w:hAnsi="黑体" w:eastAsia="黑体" w:cs="宋体"/>
          <w:b w:val="0"/>
          <w:bCs w:val="0"/>
          <w:color w:val="auto"/>
          <w:sz w:val="32"/>
          <w:highlight w:val="none"/>
        </w:rPr>
      </w:pPr>
      <w:bookmarkStart w:id="2674" w:name="_Toc11955"/>
      <w:r>
        <w:rPr>
          <w:rFonts w:hint="eastAsia" w:ascii="黑体" w:hAnsi="黑体" w:eastAsia="黑体" w:cs="宋体"/>
          <w:b w:val="0"/>
          <w:bCs w:val="0"/>
          <w:color w:val="auto"/>
          <w:sz w:val="32"/>
          <w:highlight w:val="none"/>
        </w:rPr>
        <w:t>第  二  卷</w:t>
      </w:r>
      <w:bookmarkEnd w:id="2666"/>
      <w:bookmarkEnd w:id="2667"/>
      <w:bookmarkEnd w:id="2668"/>
      <w:bookmarkEnd w:id="2669"/>
      <w:bookmarkEnd w:id="2670"/>
      <w:bookmarkEnd w:id="2671"/>
      <w:bookmarkEnd w:id="2672"/>
      <w:bookmarkEnd w:id="2673"/>
      <w:bookmarkEnd w:id="2674"/>
    </w:p>
    <w:p>
      <w:pPr>
        <w:rPr>
          <w:rFonts w:ascii="宋体" w:hAnsi="宋体" w:cs="宋体"/>
          <w:color w:val="auto"/>
          <w:highlight w:val="none"/>
        </w:rPr>
      </w:pPr>
      <w:r>
        <w:rPr>
          <w:rFonts w:hint="eastAsia" w:ascii="宋体" w:hAnsi="宋体" w:cs="宋体"/>
          <w:color w:val="auto"/>
          <w:highlight w:val="none"/>
        </w:rPr>
        <w:br w:type="page"/>
      </w:r>
    </w:p>
    <w:p>
      <w:pPr>
        <w:spacing w:line="360" w:lineRule="auto"/>
        <w:jc w:val="center"/>
        <w:rPr>
          <w:rFonts w:hint="eastAsia" w:ascii="宋体" w:hAnsi="宋体" w:cs="宋体"/>
          <w:color w:val="auto"/>
          <w:szCs w:val="21"/>
          <w:highlight w:val="none"/>
        </w:rPr>
      </w:pPr>
      <w:bookmarkStart w:id="2675" w:name="_Toc1246577164"/>
      <w:bookmarkStart w:id="2676" w:name="_Toc222033927"/>
      <w:bookmarkStart w:id="2677" w:name="_Toc222031078"/>
      <w:bookmarkStart w:id="2678" w:name="_Toc229305436"/>
      <w:bookmarkStart w:id="2679" w:name="_Toc18109"/>
      <w:bookmarkStart w:id="2680" w:name="_Toc32543"/>
      <w:bookmarkStart w:id="2681" w:name="_Toc30661"/>
      <w:bookmarkStart w:id="2682" w:name="_Toc221948392"/>
      <w:bookmarkStart w:id="2683" w:name="_Toc287"/>
      <w:bookmarkStart w:id="2684" w:name="_Toc222032745"/>
      <w:bookmarkStart w:id="2685" w:name="_Toc27544"/>
      <w:bookmarkStart w:id="2686" w:name="_Toc222029576"/>
      <w:bookmarkStart w:id="2687" w:name="_Toc387753619"/>
      <w:bookmarkStart w:id="2688" w:name="_Toc221952224"/>
      <w:bookmarkStart w:id="2689" w:name="_Toc24055"/>
      <w:bookmarkStart w:id="2690" w:name="_Toc1577422271"/>
      <w:r>
        <w:rPr>
          <w:rFonts w:hint="eastAsia" w:ascii="黑体" w:hAnsi="黑体" w:eastAsia="黑体"/>
          <w:b w:val="0"/>
          <w:bCs w:val="0"/>
          <w:color w:val="auto"/>
          <w:sz w:val="30"/>
          <w:szCs w:val="30"/>
          <w:highlight w:val="none"/>
          <w:lang w:eastAsia="zh-CN"/>
        </w:rPr>
        <w:t>第六章</w:t>
      </w:r>
      <w:r>
        <w:rPr>
          <w:rFonts w:hint="eastAsia" w:ascii="黑体" w:hAnsi="黑体" w:eastAsia="黑体"/>
          <w:b w:val="0"/>
          <w:bCs w:val="0"/>
          <w:color w:val="auto"/>
          <w:sz w:val="30"/>
          <w:szCs w:val="30"/>
          <w:highlight w:val="none"/>
        </w:rPr>
        <w:t xml:space="preserve"> 图纸（招标图纸）</w:t>
      </w:r>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Start w:id="2691" w:name="_Toc221952236"/>
    </w:p>
    <w:p>
      <w:pPr>
        <w:spacing w:line="360" w:lineRule="auto"/>
        <w:rPr>
          <w:rFonts w:hint="eastAsia" w:ascii="宋体" w:hAnsi="宋体" w:cs="宋体"/>
          <w:color w:val="auto"/>
          <w:szCs w:val="21"/>
          <w:highlight w:val="none"/>
        </w:rPr>
      </w:pPr>
    </w:p>
    <w:bookmarkEnd w:id="2691"/>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r>
        <w:rPr>
          <w:rFonts w:hint="eastAsia" w:ascii="宋体" w:hAnsi="宋体" w:cs="宋体"/>
          <w:b/>
          <w:color w:val="auto"/>
          <w:sz w:val="28"/>
          <w:szCs w:val="28"/>
          <w:highlight w:val="none"/>
        </w:rPr>
        <w:t>注：本章由招标人自行制定。</w:t>
      </w: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rPr>
          <w:rFonts w:ascii="宋体" w:hAnsi="宋体" w:cs="宋体"/>
          <w:b/>
          <w:color w:val="auto"/>
          <w:sz w:val="28"/>
          <w:szCs w:val="28"/>
          <w:highlight w:val="none"/>
        </w:rPr>
      </w:pPr>
    </w:p>
    <w:p>
      <w:pPr>
        <w:spacing w:line="360" w:lineRule="auto"/>
        <w:jc w:val="center"/>
        <w:rPr>
          <w:rFonts w:ascii="宋体" w:hAnsi="宋体" w:cs="宋体"/>
          <w:b/>
          <w:color w:val="auto"/>
          <w:sz w:val="28"/>
          <w:szCs w:val="28"/>
          <w:highlight w:val="none"/>
        </w:rPr>
      </w:pPr>
    </w:p>
    <w:p>
      <w:pPr>
        <w:rPr>
          <w:rFonts w:hint="eastAsia" w:ascii="黑体" w:hAnsi="黑体" w:eastAsia="黑体" w:cs="宋体"/>
          <w:b w:val="0"/>
          <w:bCs w:val="0"/>
          <w:color w:val="auto"/>
          <w:sz w:val="32"/>
          <w:highlight w:val="none"/>
        </w:rPr>
      </w:pPr>
      <w:bookmarkStart w:id="2692" w:name="_Toc1814641501"/>
      <w:bookmarkStart w:id="2693" w:name="_Toc20556"/>
      <w:bookmarkStart w:id="2694" w:name="_Toc1909216779"/>
      <w:bookmarkStart w:id="2695" w:name="_Toc28908"/>
      <w:bookmarkStart w:id="2696" w:name="_Toc11586"/>
      <w:bookmarkStart w:id="2697" w:name="_Toc387753622"/>
      <w:bookmarkStart w:id="2698" w:name="_Toc229408535"/>
      <w:bookmarkStart w:id="2699" w:name="_Toc2146"/>
      <w:bookmarkStart w:id="2700" w:name="_Toc24436"/>
      <w:r>
        <w:rPr>
          <w:rFonts w:hint="eastAsia" w:ascii="黑体" w:hAnsi="黑体" w:eastAsia="黑体" w:cs="宋体"/>
          <w:b w:val="0"/>
          <w:bCs w:val="0"/>
          <w:color w:val="auto"/>
          <w:sz w:val="32"/>
          <w:highlight w:val="none"/>
        </w:rPr>
        <w:br w:type="page"/>
      </w: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spacing w:before="120" w:after="120" w:line="400" w:lineRule="exact"/>
        <w:outlineLvl w:val="9"/>
        <w:rPr>
          <w:rFonts w:hint="eastAsia" w:ascii="黑体" w:hAnsi="黑体" w:eastAsia="黑体" w:cs="宋体"/>
          <w:b w:val="0"/>
          <w:bCs w:val="0"/>
          <w:color w:val="auto"/>
          <w:sz w:val="32"/>
          <w:highlight w:val="none"/>
        </w:rPr>
      </w:pPr>
    </w:p>
    <w:p>
      <w:pPr>
        <w:pStyle w:val="2"/>
        <w:spacing w:before="120" w:after="120" w:line="400" w:lineRule="exact"/>
        <w:rPr>
          <w:rFonts w:ascii="黑体" w:hAnsi="黑体" w:eastAsia="黑体" w:cs="宋体"/>
          <w:b w:val="0"/>
          <w:bCs w:val="0"/>
          <w:color w:val="auto"/>
          <w:sz w:val="32"/>
          <w:highlight w:val="none"/>
        </w:rPr>
      </w:pPr>
      <w:bookmarkStart w:id="2701" w:name="_Toc10492"/>
      <w:r>
        <w:rPr>
          <w:rFonts w:hint="eastAsia" w:ascii="黑体" w:hAnsi="黑体" w:eastAsia="黑体" w:cs="宋体"/>
          <w:b w:val="0"/>
          <w:bCs w:val="0"/>
          <w:color w:val="auto"/>
          <w:sz w:val="32"/>
          <w:highlight w:val="none"/>
        </w:rPr>
        <w:t>第 三 卷</w:t>
      </w:r>
      <w:bookmarkEnd w:id="2692"/>
      <w:bookmarkEnd w:id="2693"/>
      <w:bookmarkEnd w:id="2694"/>
      <w:bookmarkEnd w:id="2695"/>
      <w:bookmarkEnd w:id="2696"/>
      <w:bookmarkEnd w:id="2697"/>
      <w:bookmarkEnd w:id="2698"/>
      <w:bookmarkEnd w:id="2699"/>
      <w:bookmarkEnd w:id="2700"/>
      <w:bookmarkEnd w:id="2701"/>
    </w:p>
    <w:p>
      <w:pPr>
        <w:jc w:val="center"/>
        <w:rPr>
          <w:rFonts w:ascii="宋体" w:hAnsi="宋体" w:cs="宋体"/>
          <w:color w:val="auto"/>
          <w:highlight w:val="none"/>
        </w:rPr>
      </w:pPr>
      <w:r>
        <w:rPr>
          <w:rFonts w:hint="eastAsia" w:ascii="宋体" w:hAnsi="宋体" w:cs="宋体"/>
          <w:color w:val="auto"/>
          <w:highlight w:val="none"/>
        </w:rPr>
        <w:br w:type="page"/>
      </w:r>
      <w:bookmarkStart w:id="2702" w:name="_Toc29949"/>
      <w:bookmarkStart w:id="2703" w:name="_Toc2259"/>
      <w:bookmarkStart w:id="2704" w:name="_Toc1001487143"/>
      <w:bookmarkStart w:id="2705" w:name="_Toc387753623"/>
      <w:bookmarkStart w:id="2706" w:name="_Toc32720"/>
      <w:bookmarkStart w:id="2707" w:name="_Toc641471948"/>
      <w:bookmarkStart w:id="2708" w:name="_Toc31225"/>
      <w:bookmarkStart w:id="2709" w:name="_Toc9336"/>
    </w:p>
    <w:p>
      <w:pPr>
        <w:pStyle w:val="3"/>
        <w:spacing w:before="120" w:after="120" w:line="400" w:lineRule="exact"/>
        <w:jc w:val="center"/>
        <w:outlineLvl w:val="1"/>
        <w:rPr>
          <w:rFonts w:ascii="黑体" w:hAnsi="黑体" w:eastAsia="黑体"/>
          <w:b w:val="0"/>
          <w:bCs w:val="0"/>
          <w:color w:val="auto"/>
          <w:sz w:val="32"/>
          <w:highlight w:val="none"/>
        </w:rPr>
      </w:pPr>
      <w:bookmarkStart w:id="2710" w:name="_Toc26303"/>
      <w:r>
        <w:rPr>
          <w:rFonts w:hint="eastAsia" w:ascii="黑体" w:hAnsi="黑体"/>
          <w:b w:val="0"/>
          <w:bCs w:val="0"/>
          <w:color w:val="auto"/>
          <w:sz w:val="32"/>
          <w:highlight w:val="none"/>
          <w:lang w:eastAsia="zh-CN"/>
        </w:rPr>
        <w:t>第七章</w:t>
      </w:r>
      <w:r>
        <w:rPr>
          <w:rFonts w:hint="eastAsia" w:ascii="黑体" w:hAnsi="黑体" w:eastAsia="黑体"/>
          <w:b w:val="0"/>
          <w:bCs w:val="0"/>
          <w:color w:val="auto"/>
          <w:sz w:val="32"/>
          <w:highlight w:val="none"/>
        </w:rPr>
        <w:t xml:space="preserve"> 技术标准和要求（合同技术条款）</w:t>
      </w:r>
      <w:bookmarkEnd w:id="2702"/>
      <w:bookmarkEnd w:id="2703"/>
      <w:bookmarkEnd w:id="2704"/>
      <w:bookmarkEnd w:id="2705"/>
      <w:bookmarkEnd w:id="2706"/>
      <w:bookmarkEnd w:id="2707"/>
      <w:bookmarkEnd w:id="2708"/>
      <w:bookmarkEnd w:id="2709"/>
      <w:bookmarkEnd w:id="2710"/>
    </w:p>
    <w:p>
      <w:pPr>
        <w:rPr>
          <w:rFonts w:ascii="宋体" w:hAnsi="宋体" w:cs="宋体"/>
          <w:color w:val="auto"/>
          <w:szCs w:val="21"/>
          <w:highlight w:val="none"/>
        </w:rPr>
      </w:pPr>
    </w:p>
    <w:p>
      <w:pPr>
        <w:outlineLvl w:val="9"/>
        <w:rPr>
          <w:rFonts w:hint="eastAsia"/>
          <w:b w:val="0"/>
          <w:bCs w:val="0"/>
          <w:color w:val="auto"/>
          <w:sz w:val="28"/>
          <w:szCs w:val="28"/>
          <w:highlight w:val="none"/>
        </w:rPr>
      </w:pPr>
      <w:bookmarkStart w:id="2711" w:name="_Toc28754"/>
      <w:bookmarkStart w:id="2712" w:name="_Toc1527922099"/>
      <w:bookmarkStart w:id="2713" w:name="_Toc5523"/>
      <w:bookmarkStart w:id="2714" w:name="_Toc8795"/>
      <w:bookmarkStart w:id="2715" w:name="_Toc396306660"/>
      <w:bookmarkStart w:id="2716" w:name="_Toc31046"/>
      <w:bookmarkStart w:id="2717" w:name="_Toc555094191"/>
      <w:bookmarkStart w:id="2718" w:name="_Toc16097"/>
    </w:p>
    <w:p>
      <w:pPr>
        <w:ind w:left="1400" w:hanging="1400" w:hangingChars="500"/>
        <w:jc w:val="left"/>
        <w:rPr>
          <w:rFonts w:ascii="宋体" w:hAnsi="宋体" w:cs="宋体"/>
          <w:color w:val="auto"/>
          <w:sz w:val="28"/>
          <w:szCs w:val="28"/>
          <w:highlight w:val="none"/>
        </w:rPr>
      </w:pPr>
      <w:r>
        <w:rPr>
          <w:rFonts w:hint="eastAsia"/>
          <w:b w:val="0"/>
          <w:bCs w:val="0"/>
          <w:color w:val="auto"/>
          <w:sz w:val="28"/>
          <w:szCs w:val="28"/>
          <w:highlight w:val="none"/>
        </w:rPr>
        <w:t>注：本章由招标人自行制定。</w:t>
      </w:r>
      <w:bookmarkEnd w:id="2711"/>
      <w:bookmarkEnd w:id="2712"/>
      <w:bookmarkEnd w:id="2713"/>
      <w:bookmarkEnd w:id="2714"/>
      <w:bookmarkEnd w:id="2715"/>
      <w:bookmarkEnd w:id="2716"/>
      <w:bookmarkEnd w:id="2717"/>
      <w:bookmarkEnd w:id="2718"/>
    </w:p>
    <w:p>
      <w:pPr>
        <w:rPr>
          <w:rFonts w:ascii="宋体" w:hAnsi="宋体" w:cs="宋体"/>
          <w:color w:val="auto"/>
          <w:szCs w:val="21"/>
          <w:highlight w:val="none"/>
        </w:rPr>
      </w:pPr>
    </w:p>
    <w:p>
      <w:pPr>
        <w:spacing w:line="420" w:lineRule="exact"/>
        <w:ind w:left="143" w:firstLine="420"/>
        <w:jc w:val="left"/>
        <w:rPr>
          <w:color w:val="auto"/>
          <w:szCs w:val="21"/>
          <w:highlight w:val="none"/>
        </w:rPr>
      </w:pPr>
      <w:bookmarkStart w:id="2719" w:name="_Toc387753624"/>
      <w:bookmarkStart w:id="2720" w:name="_Toc229408537"/>
    </w:p>
    <w:p>
      <w:pPr>
        <w:spacing w:line="420" w:lineRule="exact"/>
        <w:ind w:left="143" w:firstLine="420"/>
        <w:jc w:val="left"/>
        <w:rPr>
          <w:color w:val="auto"/>
          <w:szCs w:val="21"/>
          <w:highlight w:val="none"/>
        </w:rPr>
      </w:pPr>
    </w:p>
    <w:p>
      <w:pPr>
        <w:spacing w:line="420" w:lineRule="exact"/>
        <w:ind w:left="143" w:firstLine="420"/>
        <w:jc w:val="left"/>
        <w:rPr>
          <w:color w:val="auto"/>
          <w:szCs w:val="21"/>
          <w:highlight w:val="none"/>
        </w:rPr>
      </w:pPr>
    </w:p>
    <w:p>
      <w:pPr>
        <w:spacing w:line="420" w:lineRule="exact"/>
        <w:ind w:left="143" w:firstLine="420"/>
        <w:jc w:val="left"/>
        <w:rPr>
          <w:color w:val="auto"/>
          <w:szCs w:val="21"/>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rPr>
          <w:color w:val="auto"/>
          <w:highlight w:val="none"/>
        </w:rPr>
      </w:pPr>
    </w:p>
    <w:p>
      <w:pPr>
        <w:rPr>
          <w:rFonts w:hint="eastAsia" w:ascii="黑体" w:hAnsi="黑体" w:eastAsia="黑体" w:cs="宋体"/>
          <w:b w:val="0"/>
          <w:bCs w:val="0"/>
          <w:color w:val="auto"/>
          <w:sz w:val="32"/>
          <w:highlight w:val="none"/>
        </w:rPr>
      </w:pPr>
      <w:bookmarkStart w:id="2721" w:name="_Toc1674024461"/>
      <w:bookmarkStart w:id="2722" w:name="_Toc24452"/>
      <w:bookmarkStart w:id="2723" w:name="_Toc6418"/>
      <w:bookmarkStart w:id="2724" w:name="_Toc12443"/>
      <w:bookmarkStart w:id="2725" w:name="_Toc1649467550"/>
      <w:bookmarkStart w:id="2726" w:name="_Toc7808"/>
      <w:bookmarkStart w:id="2727" w:name="_Toc2903"/>
      <w:r>
        <w:rPr>
          <w:rFonts w:hint="eastAsia" w:ascii="黑体" w:hAnsi="黑体" w:eastAsia="黑体" w:cs="宋体"/>
          <w:b w:val="0"/>
          <w:bCs w:val="0"/>
          <w:color w:val="auto"/>
          <w:sz w:val="32"/>
          <w:highlight w:val="none"/>
        </w:rPr>
        <w:br w:type="page"/>
      </w:r>
    </w:p>
    <w:p>
      <w:pPr>
        <w:pStyle w:val="2"/>
        <w:spacing w:before="120" w:after="120" w:line="400" w:lineRule="exact"/>
        <w:rPr>
          <w:rFonts w:hint="eastAsia" w:ascii="黑体" w:hAnsi="黑体" w:eastAsia="黑体" w:cs="宋体"/>
          <w:b w:val="0"/>
          <w:bCs w:val="0"/>
          <w:color w:val="auto"/>
          <w:sz w:val="32"/>
          <w:highlight w:val="none"/>
        </w:rPr>
      </w:pPr>
      <w:bookmarkStart w:id="2728" w:name="_Toc5426"/>
    </w:p>
    <w:p>
      <w:pPr>
        <w:pStyle w:val="2"/>
        <w:spacing w:before="120" w:after="120" w:line="400" w:lineRule="exact"/>
        <w:rPr>
          <w:rFonts w:hint="eastAsia" w:ascii="黑体" w:hAnsi="黑体" w:eastAsia="黑体" w:cs="宋体"/>
          <w:b w:val="0"/>
          <w:bCs w:val="0"/>
          <w:color w:val="auto"/>
          <w:sz w:val="32"/>
          <w:highlight w:val="none"/>
        </w:rPr>
      </w:pPr>
    </w:p>
    <w:p>
      <w:pPr>
        <w:rPr>
          <w:rFonts w:hint="eastAsia" w:ascii="黑体" w:hAnsi="黑体" w:eastAsia="黑体" w:cs="宋体"/>
          <w:b w:val="0"/>
          <w:bCs w:val="0"/>
          <w:color w:val="auto"/>
          <w:sz w:val="32"/>
          <w:highlight w:val="none"/>
        </w:rPr>
      </w:pPr>
    </w:p>
    <w:p>
      <w:pPr>
        <w:rPr>
          <w:rFonts w:hint="eastAsia" w:ascii="黑体" w:hAnsi="黑体" w:eastAsia="黑体" w:cs="宋体"/>
          <w:b w:val="0"/>
          <w:bCs w:val="0"/>
          <w:color w:val="auto"/>
          <w:sz w:val="32"/>
          <w:highlight w:val="none"/>
        </w:rPr>
      </w:pPr>
    </w:p>
    <w:p>
      <w:pPr>
        <w:rPr>
          <w:rFonts w:hint="eastAsia" w:ascii="黑体" w:hAnsi="黑体" w:eastAsia="黑体" w:cs="宋体"/>
          <w:b w:val="0"/>
          <w:bCs w:val="0"/>
          <w:color w:val="auto"/>
          <w:sz w:val="32"/>
          <w:highlight w:val="none"/>
        </w:rPr>
      </w:pPr>
    </w:p>
    <w:p>
      <w:pPr>
        <w:rPr>
          <w:rFonts w:hint="eastAsia" w:ascii="黑体" w:hAnsi="黑体" w:eastAsia="黑体" w:cs="宋体"/>
          <w:b w:val="0"/>
          <w:bCs w:val="0"/>
          <w:color w:val="auto"/>
          <w:sz w:val="32"/>
          <w:highlight w:val="none"/>
        </w:rPr>
      </w:pPr>
    </w:p>
    <w:p>
      <w:pPr>
        <w:rPr>
          <w:rFonts w:hint="eastAsia" w:ascii="黑体" w:hAnsi="黑体" w:eastAsia="黑体" w:cs="宋体"/>
          <w:b w:val="0"/>
          <w:bCs w:val="0"/>
          <w:color w:val="auto"/>
          <w:sz w:val="32"/>
          <w:highlight w:val="none"/>
        </w:rPr>
      </w:pPr>
    </w:p>
    <w:p>
      <w:pPr>
        <w:rPr>
          <w:rFonts w:hint="eastAsia" w:ascii="黑体" w:hAnsi="黑体" w:eastAsia="黑体" w:cs="宋体"/>
          <w:b w:val="0"/>
          <w:bCs w:val="0"/>
          <w:color w:val="auto"/>
          <w:sz w:val="32"/>
          <w:highlight w:val="none"/>
        </w:rPr>
      </w:pPr>
    </w:p>
    <w:p>
      <w:pPr>
        <w:rPr>
          <w:rFonts w:hint="eastAsia" w:ascii="黑体" w:hAnsi="黑体" w:eastAsia="黑体" w:cs="宋体"/>
          <w:b w:val="0"/>
          <w:bCs w:val="0"/>
          <w:color w:val="auto"/>
          <w:sz w:val="32"/>
          <w:highlight w:val="none"/>
        </w:rPr>
      </w:pPr>
    </w:p>
    <w:p>
      <w:pPr>
        <w:rPr>
          <w:rFonts w:hint="eastAsia" w:ascii="黑体" w:hAnsi="黑体" w:eastAsia="黑体" w:cs="宋体"/>
          <w:b w:val="0"/>
          <w:bCs w:val="0"/>
          <w:color w:val="auto"/>
          <w:sz w:val="32"/>
          <w:highlight w:val="none"/>
        </w:rPr>
      </w:pPr>
    </w:p>
    <w:p>
      <w:pPr>
        <w:pStyle w:val="2"/>
        <w:spacing w:before="120" w:after="120" w:line="400" w:lineRule="exact"/>
        <w:rPr>
          <w:rFonts w:ascii="黑体" w:hAnsi="黑体" w:eastAsia="黑体" w:cs="宋体"/>
          <w:b w:val="0"/>
          <w:bCs w:val="0"/>
          <w:color w:val="auto"/>
          <w:sz w:val="32"/>
          <w:highlight w:val="none"/>
        </w:rPr>
      </w:pPr>
      <w:r>
        <w:rPr>
          <w:rFonts w:hint="eastAsia" w:ascii="黑体" w:hAnsi="黑体" w:eastAsia="黑体" w:cs="宋体"/>
          <w:b w:val="0"/>
          <w:bCs w:val="0"/>
          <w:color w:val="auto"/>
          <w:sz w:val="32"/>
          <w:highlight w:val="none"/>
        </w:rPr>
        <w:t>第  四  卷</w:t>
      </w:r>
      <w:bookmarkEnd w:id="2719"/>
      <w:bookmarkEnd w:id="2720"/>
      <w:bookmarkEnd w:id="2721"/>
      <w:bookmarkEnd w:id="2722"/>
      <w:bookmarkEnd w:id="2723"/>
      <w:bookmarkEnd w:id="2724"/>
      <w:bookmarkEnd w:id="2725"/>
      <w:bookmarkEnd w:id="2726"/>
      <w:bookmarkEnd w:id="2727"/>
      <w:bookmarkEnd w:id="2728"/>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spacing w:before="120" w:after="120" w:line="400" w:lineRule="exact"/>
        <w:ind w:firstLine="3000" w:firstLineChars="1000"/>
        <w:jc w:val="center"/>
        <w:outlineLvl w:val="1"/>
        <w:rPr>
          <w:rFonts w:ascii="黑体" w:hAnsi="黑体" w:eastAsia="黑体"/>
          <w:b w:val="0"/>
          <w:bCs w:val="0"/>
          <w:color w:val="auto"/>
          <w:sz w:val="32"/>
          <w:highlight w:val="none"/>
        </w:rPr>
      </w:pPr>
      <w:bookmarkStart w:id="2729" w:name="_Toc3951"/>
      <w:bookmarkStart w:id="2730" w:name="_Toc32149697"/>
      <w:bookmarkStart w:id="2731" w:name="_Toc16303"/>
      <w:bookmarkStart w:id="2732" w:name="_Toc1338"/>
      <w:bookmarkStart w:id="2733" w:name="_Toc19911"/>
      <w:bookmarkStart w:id="2734" w:name="_Toc387753625"/>
      <w:bookmarkStart w:id="2735" w:name="_Toc32729"/>
      <w:bookmarkStart w:id="2736" w:name="_Toc779656181"/>
      <w:bookmarkStart w:id="2737" w:name="_Toc32465"/>
      <w:r>
        <w:rPr>
          <w:rFonts w:hint="eastAsia" w:ascii="黑体" w:hAnsi="黑体"/>
          <w:b w:val="0"/>
          <w:bCs w:val="0"/>
          <w:color w:val="auto"/>
          <w:sz w:val="30"/>
          <w:szCs w:val="30"/>
          <w:highlight w:val="none"/>
          <w:lang w:eastAsia="zh-CN"/>
        </w:rPr>
        <w:t>第八章</w:t>
      </w:r>
      <w:r>
        <w:rPr>
          <w:rFonts w:hint="eastAsia" w:ascii="黑体" w:hAnsi="黑体" w:eastAsia="黑体"/>
          <w:b w:val="0"/>
          <w:bCs w:val="0"/>
          <w:color w:val="auto"/>
          <w:sz w:val="30"/>
          <w:szCs w:val="30"/>
          <w:highlight w:val="none"/>
        </w:rPr>
        <w:t xml:space="preserve">  投标文件格式</w:t>
      </w:r>
      <w:bookmarkEnd w:id="2657"/>
      <w:bookmarkEnd w:id="2658"/>
      <w:bookmarkEnd w:id="2659"/>
      <w:bookmarkEnd w:id="2660"/>
      <w:bookmarkEnd w:id="2661"/>
      <w:bookmarkEnd w:id="2662"/>
      <w:bookmarkEnd w:id="2663"/>
      <w:bookmarkEnd w:id="2664"/>
      <w:bookmarkEnd w:id="2665"/>
      <w:bookmarkEnd w:id="2729"/>
      <w:bookmarkEnd w:id="2730"/>
      <w:bookmarkEnd w:id="2731"/>
      <w:bookmarkEnd w:id="2732"/>
      <w:bookmarkEnd w:id="2733"/>
      <w:bookmarkEnd w:id="2734"/>
      <w:bookmarkEnd w:id="2735"/>
      <w:bookmarkEnd w:id="2736"/>
      <w:bookmarkEnd w:id="2737"/>
    </w:p>
    <w:p>
      <w:pPr>
        <w:jc w:val="center"/>
        <w:rPr>
          <w:rFonts w:eastAsia="黑体"/>
          <w:color w:val="auto"/>
          <w:sz w:val="28"/>
          <w:szCs w:val="28"/>
          <w:highlight w:val="none"/>
          <w:u w:val="single"/>
        </w:rPr>
      </w:pPr>
    </w:p>
    <w:p>
      <w:pPr>
        <w:jc w:val="center"/>
        <w:rPr>
          <w:rFonts w:eastAsia="黑体"/>
          <w:color w:val="auto"/>
          <w:sz w:val="28"/>
          <w:szCs w:val="28"/>
          <w:highlight w:val="none"/>
          <w:u w:val="single"/>
        </w:rPr>
      </w:pPr>
    </w:p>
    <w:p>
      <w:pPr>
        <w:jc w:val="center"/>
        <w:rPr>
          <w:rFonts w:eastAsia="黑体"/>
          <w:color w:val="auto"/>
          <w:sz w:val="28"/>
          <w:szCs w:val="28"/>
          <w:highlight w:val="none"/>
          <w:u w:val="single"/>
        </w:rPr>
      </w:pPr>
    </w:p>
    <w:p>
      <w:pPr>
        <w:jc w:val="center"/>
        <w:rPr>
          <w:rFonts w:eastAsia="黑体"/>
          <w:color w:val="auto"/>
          <w:sz w:val="28"/>
          <w:szCs w:val="28"/>
          <w:highlight w:val="none"/>
          <w:u w:val="single"/>
        </w:rPr>
      </w:pPr>
    </w:p>
    <w:p>
      <w:pPr>
        <w:jc w:val="center"/>
        <w:rPr>
          <w:rFonts w:ascii="黑体" w:hAnsi="黑体" w:eastAsia="黑体" w:cs="黑体"/>
          <w:color w:val="auto"/>
          <w:sz w:val="32"/>
          <w:szCs w:val="32"/>
          <w:highlight w:val="none"/>
        </w:rPr>
      </w:pPr>
      <w:bookmarkStart w:id="2738" w:name="_Toc4559"/>
      <w:bookmarkStart w:id="2739" w:name="_Toc2843"/>
      <w:bookmarkStart w:id="2740" w:name="_Toc20020"/>
      <w:bookmarkStart w:id="2741" w:name="_Toc323220042"/>
      <w:bookmarkStart w:id="2742" w:name="_Toc336192492"/>
      <w:bookmarkStart w:id="2743" w:name="_Toc288066307"/>
      <w:bookmarkStart w:id="2744" w:name="_Toc336192584"/>
      <w:bookmarkStart w:id="2745" w:name="_Toc325129574"/>
      <w:bookmarkStart w:id="2746" w:name="_Toc279401963"/>
      <w:bookmarkStart w:id="2747" w:name="_Toc323220043"/>
      <w:bookmarkStart w:id="2748" w:name="_Toc288066308"/>
      <w:bookmarkStart w:id="2749" w:name="_Toc279401964"/>
      <w:r>
        <w:rPr>
          <w:rFonts w:hint="eastAsia" w:ascii="黑体" w:hAnsi="黑体" w:eastAsia="黑体" w:cs="黑体"/>
          <w:color w:val="auto"/>
          <w:sz w:val="32"/>
          <w:szCs w:val="32"/>
          <w:highlight w:val="none"/>
        </w:rPr>
        <w:t>（项目名称）（标段名称）施工招标</w:t>
      </w:r>
      <w:bookmarkEnd w:id="2738"/>
      <w:bookmarkEnd w:id="2739"/>
      <w:bookmarkEnd w:id="2740"/>
    </w:p>
    <w:p>
      <w:pPr>
        <w:rPr>
          <w:rFonts w:eastAsia="黑体"/>
          <w:color w:val="auto"/>
          <w:sz w:val="20"/>
          <w:szCs w:val="20"/>
          <w:highlight w:val="none"/>
        </w:rPr>
      </w:pPr>
    </w:p>
    <w:p>
      <w:pPr>
        <w:rPr>
          <w:rFonts w:eastAsia="黑体"/>
          <w:color w:val="auto"/>
          <w:sz w:val="20"/>
          <w:szCs w:val="20"/>
          <w:highlight w:val="none"/>
        </w:rPr>
      </w:pPr>
    </w:p>
    <w:p>
      <w:pPr>
        <w:jc w:val="center"/>
        <w:rPr>
          <w:rFonts w:eastAsia="黑体"/>
          <w:color w:val="auto"/>
          <w:sz w:val="44"/>
          <w:szCs w:val="44"/>
          <w:highlight w:val="none"/>
        </w:rPr>
      </w:pPr>
    </w:p>
    <w:p>
      <w:pPr>
        <w:jc w:val="center"/>
        <w:rPr>
          <w:rFonts w:ascii="黑体" w:hAnsi="黑体" w:eastAsia="黑体" w:cs="黑体"/>
          <w:color w:val="auto"/>
          <w:sz w:val="44"/>
          <w:szCs w:val="44"/>
          <w:highlight w:val="none"/>
        </w:rPr>
      </w:pPr>
      <w:bookmarkStart w:id="2750" w:name="_Toc5849"/>
      <w:bookmarkStart w:id="2751" w:name="_Toc14447"/>
      <w:bookmarkStart w:id="2752" w:name="_Toc5144"/>
      <w:r>
        <w:rPr>
          <w:rFonts w:hint="eastAsia" w:ascii="黑体" w:hAnsi="黑体" w:eastAsia="黑体" w:cs="黑体"/>
          <w:color w:val="auto"/>
          <w:sz w:val="44"/>
          <w:szCs w:val="44"/>
          <w:highlight w:val="none"/>
        </w:rPr>
        <w:t>投  标  文  件</w:t>
      </w:r>
      <w:bookmarkEnd w:id="2750"/>
      <w:bookmarkEnd w:id="2751"/>
      <w:bookmarkEnd w:id="2752"/>
    </w:p>
    <w:p>
      <w:pPr>
        <w:rPr>
          <w:rFonts w:eastAsia="黑体"/>
          <w:color w:val="auto"/>
          <w:sz w:val="44"/>
          <w:szCs w:val="44"/>
          <w:highlight w:val="none"/>
        </w:rPr>
      </w:pPr>
    </w:p>
    <w:p>
      <w:pPr>
        <w:ind w:firstLine="3360" w:firstLineChars="1200"/>
        <w:rPr>
          <w:rFonts w:ascii="宋体" w:hAnsi="宋体" w:cs="宋体"/>
          <w:color w:val="auto"/>
          <w:sz w:val="28"/>
          <w:szCs w:val="28"/>
          <w:highlight w:val="none"/>
          <w:u w:val="single"/>
        </w:rPr>
      </w:pPr>
      <w:bookmarkStart w:id="2753" w:name="_Toc915"/>
      <w:bookmarkStart w:id="2754" w:name="_Toc12044"/>
      <w:bookmarkStart w:id="2755" w:name="_Toc30945"/>
      <w:r>
        <w:rPr>
          <w:rFonts w:hint="eastAsia" w:ascii="宋体" w:hAnsi="宋体" w:cs="宋体"/>
          <w:color w:val="auto"/>
          <w:sz w:val="28"/>
          <w:szCs w:val="28"/>
          <w:highlight w:val="none"/>
        </w:rPr>
        <w:t>招标编号:</w:t>
      </w:r>
      <w:bookmarkEnd w:id="2753"/>
      <w:bookmarkEnd w:id="2754"/>
      <w:bookmarkEnd w:id="2755"/>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rPr>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color w:val="auto"/>
          <w:szCs w:val="21"/>
          <w:highlight w:val="none"/>
        </w:rPr>
      </w:pPr>
    </w:p>
    <w:p>
      <w:pPr>
        <w:spacing w:line="360" w:lineRule="auto"/>
        <w:jc w:val="center"/>
        <w:rPr>
          <w:rFonts w:ascii="黑体" w:hAnsi="黑体" w:eastAsia="黑体" w:cs="仿宋"/>
          <w:color w:val="auto"/>
          <w:sz w:val="28"/>
          <w:szCs w:val="28"/>
          <w:highlight w:val="none"/>
        </w:rPr>
      </w:pPr>
      <w:bookmarkStart w:id="2756" w:name="_Toc18130"/>
      <w:bookmarkStart w:id="2757" w:name="_Toc4526"/>
      <w:bookmarkStart w:id="2758" w:name="_Toc19389"/>
      <w:r>
        <w:rPr>
          <w:rFonts w:hint="eastAsia" w:ascii="黑体" w:hAnsi="黑体" w:eastAsia="黑体" w:cs="仿宋"/>
          <w:color w:val="auto"/>
          <w:sz w:val="28"/>
          <w:szCs w:val="28"/>
          <w:highlight w:val="none"/>
        </w:rPr>
        <w:t>投   标   人：（盖章）</w:t>
      </w:r>
      <w:bookmarkEnd w:id="2756"/>
      <w:bookmarkEnd w:id="2757"/>
      <w:bookmarkEnd w:id="2758"/>
    </w:p>
    <w:p>
      <w:pPr>
        <w:spacing w:line="360" w:lineRule="auto"/>
        <w:jc w:val="center"/>
        <w:rPr>
          <w:rFonts w:ascii="黑体" w:hAnsi="黑体" w:eastAsia="黑体" w:cs="仿宋"/>
          <w:color w:val="auto"/>
          <w:sz w:val="28"/>
          <w:szCs w:val="28"/>
          <w:highlight w:val="none"/>
        </w:rPr>
      </w:pPr>
      <w:bookmarkStart w:id="2759" w:name="_Toc10741"/>
      <w:bookmarkStart w:id="2760" w:name="_Toc24201"/>
      <w:bookmarkStart w:id="2761" w:name="_Toc21185"/>
      <w:r>
        <w:rPr>
          <w:rFonts w:hint="eastAsia" w:ascii="黑体" w:hAnsi="黑体" w:eastAsia="黑体" w:cs="仿宋"/>
          <w:color w:val="auto"/>
          <w:sz w:val="28"/>
          <w:szCs w:val="28"/>
          <w:highlight w:val="none"/>
        </w:rPr>
        <w:t>法定代表人： （签字）</w:t>
      </w:r>
      <w:bookmarkEnd w:id="2759"/>
      <w:bookmarkEnd w:id="2760"/>
      <w:bookmarkEnd w:id="2761"/>
    </w:p>
    <w:p>
      <w:pPr>
        <w:jc w:val="center"/>
        <w:rPr>
          <w:rFonts w:ascii="黑体" w:hAnsi="黑体" w:eastAsia="黑体" w:cs="仿宋"/>
          <w:color w:val="auto"/>
          <w:sz w:val="28"/>
          <w:szCs w:val="28"/>
          <w:highlight w:val="none"/>
        </w:rPr>
      </w:pPr>
      <w:bookmarkStart w:id="2762" w:name="_Toc5146"/>
      <w:bookmarkStart w:id="2763" w:name="_Toc30303"/>
      <w:bookmarkStart w:id="2764" w:name="_Toc19037"/>
    </w:p>
    <w:p>
      <w:pPr>
        <w:jc w:val="center"/>
        <w:rPr>
          <w:rFonts w:ascii="黑体" w:hAnsi="黑体" w:eastAsia="黑体" w:cs="仿宋"/>
          <w:color w:val="auto"/>
          <w:sz w:val="28"/>
          <w:szCs w:val="28"/>
          <w:highlight w:val="none"/>
        </w:rPr>
      </w:pPr>
      <w:r>
        <w:rPr>
          <w:rFonts w:hint="eastAsia" w:ascii="黑体" w:hAnsi="黑体" w:eastAsia="黑体" w:cs="仿宋"/>
          <w:color w:val="auto"/>
          <w:sz w:val="28"/>
          <w:szCs w:val="28"/>
          <w:highlight w:val="none"/>
        </w:rPr>
        <w:t xml:space="preserve"> 年  月 日</w:t>
      </w:r>
      <w:bookmarkEnd w:id="2762"/>
      <w:bookmarkEnd w:id="2763"/>
      <w:bookmarkEnd w:id="2764"/>
    </w:p>
    <w:p>
      <w:pPr>
        <w:spacing w:line="360" w:lineRule="auto"/>
        <w:ind w:firstLine="980" w:firstLineChars="350"/>
        <w:jc w:val="center"/>
        <w:outlineLvl w:val="9"/>
        <w:rPr>
          <w:rFonts w:ascii="仿宋_GB2312" w:eastAsia="仿宋_GB2312"/>
          <w:color w:val="auto"/>
          <w:sz w:val="28"/>
          <w:szCs w:val="28"/>
          <w:highlight w:val="none"/>
          <w:u w:val="single"/>
        </w:rPr>
      </w:pPr>
    </w:p>
    <w:p>
      <w:pPr>
        <w:spacing w:line="360" w:lineRule="auto"/>
        <w:ind w:firstLine="980" w:firstLineChars="350"/>
        <w:jc w:val="center"/>
        <w:outlineLvl w:val="9"/>
        <w:rPr>
          <w:rFonts w:ascii="仿宋_GB2312" w:eastAsia="仿宋_GB2312"/>
          <w:color w:val="auto"/>
          <w:sz w:val="28"/>
          <w:szCs w:val="28"/>
          <w:highlight w:val="none"/>
          <w:u w:val="single"/>
        </w:rPr>
      </w:pPr>
    </w:p>
    <w:p>
      <w:pPr>
        <w:pStyle w:val="30"/>
        <w:outlineLvl w:val="9"/>
        <w:rPr>
          <w:color w:val="auto"/>
          <w:highlight w:val="none"/>
        </w:rPr>
      </w:pPr>
    </w:p>
    <w:p>
      <w:pPr>
        <w:spacing w:line="440" w:lineRule="exact"/>
        <w:ind w:firstLine="420" w:firstLineChars="200"/>
        <w:outlineLvl w:val="9"/>
        <w:rPr>
          <w:color w:val="auto"/>
          <w:highlight w:val="none"/>
        </w:rPr>
      </w:pPr>
      <w:bookmarkStart w:id="2765" w:name="_Toc4545"/>
      <w:bookmarkStart w:id="2766" w:name="_Toc10011"/>
      <w:bookmarkStart w:id="2767" w:name="_Toc32137"/>
      <w:bookmarkStart w:id="2768" w:name="_Toc3186"/>
    </w:p>
    <w:p>
      <w:pPr>
        <w:pStyle w:val="20"/>
        <w:jc w:val="center"/>
        <w:outlineLvl w:val="2"/>
        <w:rPr>
          <w:color w:val="auto"/>
          <w:highlight w:val="none"/>
        </w:rPr>
      </w:pPr>
      <w:bookmarkStart w:id="2769" w:name="_Toc7806"/>
      <w:bookmarkStart w:id="2770" w:name="_Toc109149944"/>
      <w:bookmarkStart w:id="2771" w:name="_Toc784171564"/>
      <w:r>
        <w:rPr>
          <w:rFonts w:hint="eastAsia"/>
          <w:color w:val="auto"/>
          <w:highlight w:val="none"/>
        </w:rPr>
        <w:t>目    录</w:t>
      </w:r>
      <w:bookmarkEnd w:id="2741"/>
      <w:bookmarkEnd w:id="2742"/>
      <w:bookmarkEnd w:id="2743"/>
      <w:bookmarkEnd w:id="2744"/>
      <w:bookmarkEnd w:id="2745"/>
      <w:bookmarkEnd w:id="2746"/>
      <w:bookmarkEnd w:id="2765"/>
      <w:bookmarkEnd w:id="2766"/>
      <w:bookmarkEnd w:id="2767"/>
      <w:bookmarkEnd w:id="2768"/>
      <w:bookmarkEnd w:id="2769"/>
      <w:bookmarkEnd w:id="2770"/>
      <w:bookmarkEnd w:id="2771"/>
    </w:p>
    <w:p>
      <w:pPr>
        <w:spacing w:line="600" w:lineRule="exact"/>
        <w:jc w:val="left"/>
        <w:rPr>
          <w:rFonts w:ascii="宋体" w:hAnsi="宋体"/>
          <w:color w:val="auto"/>
          <w:szCs w:val="21"/>
          <w:highlight w:val="none"/>
        </w:rPr>
      </w:pPr>
    </w:p>
    <w:p>
      <w:pPr>
        <w:spacing w:line="440" w:lineRule="exact"/>
        <w:ind w:firstLine="420" w:firstLineChars="200"/>
        <w:rPr>
          <w:color w:val="auto"/>
          <w:szCs w:val="21"/>
          <w:highlight w:val="none"/>
        </w:rPr>
      </w:pPr>
      <w:bookmarkStart w:id="2772" w:name="_Toc27331"/>
      <w:bookmarkStart w:id="2773" w:name="_Toc29783"/>
      <w:bookmarkStart w:id="2774" w:name="_Toc4573"/>
      <w:r>
        <w:rPr>
          <w:rFonts w:hint="eastAsia"/>
          <w:color w:val="auto"/>
          <w:szCs w:val="21"/>
          <w:highlight w:val="none"/>
        </w:rPr>
        <w:t>一、投标函及投标函附录</w:t>
      </w:r>
      <w:bookmarkEnd w:id="2772"/>
      <w:bookmarkEnd w:id="2773"/>
      <w:bookmarkEnd w:id="2774"/>
    </w:p>
    <w:p>
      <w:pPr>
        <w:spacing w:line="440" w:lineRule="exact"/>
        <w:ind w:firstLine="420" w:firstLineChars="200"/>
        <w:rPr>
          <w:color w:val="auto"/>
          <w:szCs w:val="21"/>
          <w:highlight w:val="none"/>
        </w:rPr>
      </w:pPr>
      <w:bookmarkStart w:id="2775" w:name="_Toc27043"/>
      <w:bookmarkStart w:id="2776" w:name="_Toc6145"/>
      <w:bookmarkStart w:id="2777" w:name="_Toc30386"/>
      <w:r>
        <w:rPr>
          <w:rFonts w:hint="eastAsia"/>
          <w:color w:val="auto"/>
          <w:szCs w:val="21"/>
          <w:highlight w:val="none"/>
        </w:rPr>
        <w:t>二、法定代表人身份证明</w:t>
      </w:r>
      <w:bookmarkEnd w:id="2775"/>
      <w:bookmarkEnd w:id="2776"/>
      <w:bookmarkEnd w:id="2777"/>
    </w:p>
    <w:p>
      <w:pPr>
        <w:spacing w:line="440" w:lineRule="exact"/>
        <w:ind w:firstLine="420" w:firstLineChars="200"/>
        <w:rPr>
          <w:color w:val="auto"/>
          <w:szCs w:val="21"/>
          <w:highlight w:val="none"/>
        </w:rPr>
      </w:pPr>
      <w:bookmarkStart w:id="2778" w:name="_Toc10673"/>
      <w:bookmarkStart w:id="2779" w:name="_Toc11615"/>
      <w:bookmarkStart w:id="2780" w:name="_Toc10098"/>
      <w:r>
        <w:rPr>
          <w:rFonts w:hint="eastAsia"/>
          <w:color w:val="auto"/>
          <w:szCs w:val="21"/>
          <w:highlight w:val="none"/>
        </w:rPr>
        <w:t>三、投标保证金</w:t>
      </w:r>
    </w:p>
    <w:bookmarkEnd w:id="2778"/>
    <w:bookmarkEnd w:id="2779"/>
    <w:bookmarkEnd w:id="2780"/>
    <w:p>
      <w:pPr>
        <w:spacing w:line="440" w:lineRule="exact"/>
        <w:ind w:firstLine="420" w:firstLineChars="200"/>
        <w:rPr>
          <w:color w:val="auto"/>
          <w:szCs w:val="21"/>
          <w:highlight w:val="none"/>
        </w:rPr>
      </w:pPr>
      <w:bookmarkStart w:id="2781" w:name="_Toc13860"/>
      <w:bookmarkStart w:id="2782" w:name="_Toc2194"/>
      <w:bookmarkStart w:id="2783" w:name="_Toc23748"/>
      <w:r>
        <w:rPr>
          <w:rFonts w:hint="eastAsia"/>
          <w:color w:val="auto"/>
          <w:szCs w:val="21"/>
          <w:highlight w:val="none"/>
        </w:rPr>
        <w:t>四、联合体协议书</w:t>
      </w:r>
    </w:p>
    <w:p>
      <w:pPr>
        <w:spacing w:line="440" w:lineRule="exact"/>
        <w:ind w:firstLine="420" w:firstLineChars="200"/>
        <w:rPr>
          <w:color w:val="auto"/>
          <w:szCs w:val="21"/>
          <w:highlight w:val="none"/>
        </w:rPr>
      </w:pPr>
      <w:r>
        <w:rPr>
          <w:rFonts w:hint="eastAsia"/>
          <w:color w:val="auto"/>
          <w:szCs w:val="21"/>
          <w:highlight w:val="none"/>
        </w:rPr>
        <w:t xml:space="preserve">五、拟分包项目情况表  </w:t>
      </w:r>
    </w:p>
    <w:p>
      <w:pPr>
        <w:spacing w:line="440" w:lineRule="exact"/>
        <w:ind w:firstLine="420" w:firstLineChars="200"/>
        <w:rPr>
          <w:color w:val="auto"/>
          <w:szCs w:val="21"/>
          <w:highlight w:val="none"/>
        </w:rPr>
      </w:pPr>
      <w:r>
        <w:rPr>
          <w:rFonts w:hint="eastAsia"/>
          <w:color w:val="auto"/>
          <w:szCs w:val="21"/>
          <w:highlight w:val="none"/>
          <w:lang w:val="en-US" w:eastAsia="zh-CN"/>
        </w:rPr>
        <w:t>六</w:t>
      </w:r>
      <w:r>
        <w:rPr>
          <w:rFonts w:hint="eastAsia"/>
          <w:color w:val="auto"/>
          <w:szCs w:val="21"/>
          <w:highlight w:val="none"/>
        </w:rPr>
        <w:t>、投标报价</w:t>
      </w:r>
      <w:bookmarkEnd w:id="2781"/>
      <w:bookmarkEnd w:id="2782"/>
      <w:bookmarkEnd w:id="2783"/>
    </w:p>
    <w:p>
      <w:pPr>
        <w:spacing w:line="440" w:lineRule="exact"/>
        <w:ind w:firstLine="420" w:firstLineChars="200"/>
        <w:rPr>
          <w:color w:val="auto"/>
          <w:szCs w:val="21"/>
          <w:highlight w:val="none"/>
        </w:rPr>
      </w:pPr>
      <w:bookmarkStart w:id="2784" w:name="_Toc11587"/>
      <w:bookmarkStart w:id="2785" w:name="_Toc9156"/>
      <w:bookmarkStart w:id="2786" w:name="_Toc10031"/>
      <w:r>
        <w:rPr>
          <w:rFonts w:hint="eastAsia"/>
          <w:color w:val="auto"/>
          <w:szCs w:val="21"/>
          <w:highlight w:val="none"/>
          <w:lang w:val="en-US" w:eastAsia="zh-CN"/>
        </w:rPr>
        <w:t>七</w:t>
      </w:r>
      <w:r>
        <w:rPr>
          <w:rFonts w:hint="eastAsia"/>
          <w:color w:val="auto"/>
          <w:szCs w:val="21"/>
          <w:highlight w:val="none"/>
        </w:rPr>
        <w:t>、施工组织设计</w:t>
      </w:r>
      <w:bookmarkEnd w:id="2784"/>
      <w:bookmarkEnd w:id="2785"/>
      <w:bookmarkEnd w:id="2786"/>
    </w:p>
    <w:p>
      <w:pPr>
        <w:spacing w:line="440" w:lineRule="exact"/>
        <w:ind w:firstLine="420" w:firstLineChars="200"/>
        <w:rPr>
          <w:color w:val="auto"/>
          <w:szCs w:val="21"/>
          <w:highlight w:val="none"/>
        </w:rPr>
      </w:pPr>
      <w:bookmarkStart w:id="2787" w:name="_Toc27985"/>
      <w:bookmarkStart w:id="2788" w:name="_Toc10683"/>
      <w:bookmarkStart w:id="2789" w:name="_Toc20570"/>
      <w:r>
        <w:rPr>
          <w:rFonts w:hint="eastAsia"/>
          <w:color w:val="auto"/>
          <w:szCs w:val="21"/>
          <w:highlight w:val="none"/>
          <w:lang w:val="en-US" w:eastAsia="zh-CN"/>
        </w:rPr>
        <w:t>八</w:t>
      </w:r>
      <w:r>
        <w:rPr>
          <w:rFonts w:hint="eastAsia"/>
          <w:color w:val="auto"/>
          <w:szCs w:val="21"/>
          <w:highlight w:val="none"/>
        </w:rPr>
        <w:t>、项目管理机构</w:t>
      </w:r>
      <w:bookmarkEnd w:id="2787"/>
      <w:bookmarkEnd w:id="2788"/>
      <w:bookmarkEnd w:id="2789"/>
    </w:p>
    <w:p>
      <w:pPr>
        <w:spacing w:line="440" w:lineRule="exact"/>
        <w:ind w:firstLine="420" w:firstLineChars="200"/>
        <w:rPr>
          <w:color w:val="auto"/>
          <w:szCs w:val="21"/>
          <w:highlight w:val="none"/>
        </w:rPr>
      </w:pPr>
      <w:bookmarkStart w:id="2790" w:name="_Toc27688"/>
      <w:bookmarkStart w:id="2791" w:name="_Toc30825"/>
      <w:bookmarkStart w:id="2792" w:name="_Toc5673"/>
      <w:r>
        <w:rPr>
          <w:rFonts w:hint="eastAsia"/>
          <w:color w:val="auto"/>
          <w:szCs w:val="21"/>
          <w:highlight w:val="none"/>
          <w:lang w:val="en-US" w:eastAsia="zh-CN"/>
        </w:rPr>
        <w:t>九</w:t>
      </w:r>
      <w:r>
        <w:rPr>
          <w:rFonts w:hint="eastAsia"/>
          <w:color w:val="auto"/>
          <w:szCs w:val="21"/>
          <w:highlight w:val="none"/>
        </w:rPr>
        <w:t>、资格审查资料</w:t>
      </w:r>
      <w:bookmarkEnd w:id="2790"/>
      <w:bookmarkEnd w:id="2791"/>
      <w:bookmarkEnd w:id="2792"/>
    </w:p>
    <w:p>
      <w:pPr>
        <w:spacing w:line="440" w:lineRule="exact"/>
        <w:ind w:firstLine="420" w:firstLineChars="200"/>
        <w:rPr>
          <w:rFonts w:hint="eastAsia"/>
          <w:color w:val="auto"/>
          <w:szCs w:val="21"/>
          <w:highlight w:val="none"/>
        </w:rPr>
      </w:pPr>
      <w:bookmarkStart w:id="2793" w:name="_Toc13261"/>
      <w:bookmarkStart w:id="2794" w:name="_Toc21506"/>
      <w:bookmarkStart w:id="2795" w:name="_Toc19048"/>
      <w:r>
        <w:rPr>
          <w:rFonts w:hint="eastAsia"/>
          <w:color w:val="auto"/>
          <w:szCs w:val="21"/>
          <w:highlight w:val="none"/>
          <w:lang w:val="en-US" w:eastAsia="zh-CN"/>
        </w:rPr>
        <w:t>十</w:t>
      </w:r>
      <w:r>
        <w:rPr>
          <w:rFonts w:hint="eastAsia"/>
          <w:color w:val="auto"/>
          <w:szCs w:val="21"/>
          <w:highlight w:val="none"/>
        </w:rPr>
        <w:t>、</w:t>
      </w:r>
      <w:bookmarkEnd w:id="2793"/>
      <w:bookmarkEnd w:id="2794"/>
      <w:bookmarkEnd w:id="2795"/>
      <w:bookmarkStart w:id="2796" w:name="_Toc18653"/>
      <w:bookmarkStart w:id="2797" w:name="_Toc1281139497"/>
      <w:bookmarkStart w:id="2798" w:name="_Toc3125"/>
      <w:bookmarkStart w:id="2799" w:name="_Toc22892"/>
      <w:bookmarkStart w:id="2800" w:name="_Toc640"/>
      <w:bookmarkStart w:id="2801" w:name="_Toc1851536456"/>
      <w:bookmarkStart w:id="2802" w:name="_Toc3900"/>
      <w:bookmarkStart w:id="2803" w:name="_Toc403382858"/>
      <w:r>
        <w:rPr>
          <w:rFonts w:hint="eastAsia"/>
          <w:color w:val="auto"/>
          <w:szCs w:val="21"/>
          <w:highlight w:val="none"/>
        </w:rPr>
        <w:t>农田建设项目信用承诺书</w:t>
      </w:r>
    </w:p>
    <w:p>
      <w:pPr>
        <w:spacing w:line="440" w:lineRule="exact"/>
        <w:ind w:firstLine="420" w:firstLineChars="200"/>
        <w:rPr>
          <w:color w:val="auto"/>
          <w:szCs w:val="21"/>
          <w:highlight w:val="none"/>
        </w:rPr>
      </w:pPr>
      <w:r>
        <w:rPr>
          <w:rFonts w:hint="eastAsia"/>
          <w:color w:val="auto"/>
          <w:szCs w:val="21"/>
          <w:highlight w:val="none"/>
          <w:lang w:val="en-US" w:eastAsia="zh-CN"/>
        </w:rPr>
        <w:t>十一</w:t>
      </w:r>
      <w:r>
        <w:rPr>
          <w:rFonts w:hint="eastAsia"/>
          <w:color w:val="auto"/>
          <w:szCs w:val="21"/>
          <w:highlight w:val="none"/>
        </w:rPr>
        <w:t>、其他材料</w:t>
      </w:r>
    </w:p>
    <w:p>
      <w:pPr>
        <w:spacing w:line="440" w:lineRule="exact"/>
        <w:ind w:firstLine="420" w:firstLineChars="200"/>
        <w:rPr>
          <w:color w:val="auto"/>
          <w:szCs w:val="21"/>
          <w:highlight w:val="none"/>
        </w:rPr>
      </w:pPr>
    </w:p>
    <w:p>
      <w:pPr>
        <w:pStyle w:val="30"/>
        <w:outlineLvl w:val="9"/>
        <w:rPr>
          <w:rFonts w:eastAsia="宋体"/>
          <w:color w:val="auto"/>
          <w:szCs w:val="21"/>
          <w:highlight w:val="none"/>
        </w:rPr>
      </w:pPr>
    </w:p>
    <w:p>
      <w:pPr>
        <w:outlineLvl w:val="9"/>
        <w:rPr>
          <w:color w:val="auto"/>
          <w:szCs w:val="21"/>
          <w:highlight w:val="none"/>
        </w:rPr>
      </w:pPr>
    </w:p>
    <w:p>
      <w:pPr>
        <w:pStyle w:val="30"/>
        <w:outlineLvl w:val="9"/>
        <w:rPr>
          <w:rFonts w:eastAsia="宋体"/>
          <w:color w:val="auto"/>
          <w:szCs w:val="21"/>
          <w:highlight w:val="none"/>
        </w:rPr>
      </w:pPr>
    </w:p>
    <w:p>
      <w:pPr>
        <w:outlineLvl w:val="9"/>
        <w:rPr>
          <w:color w:val="auto"/>
          <w:szCs w:val="21"/>
          <w:highlight w:val="none"/>
        </w:rPr>
      </w:pPr>
    </w:p>
    <w:p>
      <w:pPr>
        <w:pStyle w:val="30"/>
        <w:outlineLvl w:val="9"/>
        <w:rPr>
          <w:rFonts w:eastAsia="宋体"/>
          <w:color w:val="auto"/>
          <w:szCs w:val="21"/>
          <w:highlight w:val="none"/>
        </w:rPr>
      </w:pPr>
    </w:p>
    <w:p>
      <w:pPr>
        <w:outlineLvl w:val="9"/>
        <w:rPr>
          <w:color w:val="auto"/>
          <w:szCs w:val="21"/>
          <w:highlight w:val="none"/>
        </w:rPr>
      </w:pPr>
    </w:p>
    <w:p>
      <w:pPr>
        <w:pStyle w:val="30"/>
        <w:outlineLvl w:val="9"/>
        <w:rPr>
          <w:rFonts w:eastAsia="宋体"/>
          <w:color w:val="auto"/>
          <w:szCs w:val="21"/>
          <w:highlight w:val="none"/>
        </w:rPr>
      </w:pPr>
    </w:p>
    <w:p>
      <w:pPr>
        <w:outlineLvl w:val="9"/>
        <w:rPr>
          <w:color w:val="auto"/>
          <w:szCs w:val="21"/>
          <w:highlight w:val="none"/>
        </w:rPr>
      </w:pPr>
    </w:p>
    <w:p>
      <w:pPr>
        <w:pStyle w:val="30"/>
        <w:outlineLvl w:val="9"/>
        <w:rPr>
          <w:rFonts w:eastAsia="宋体"/>
          <w:color w:val="auto"/>
          <w:szCs w:val="21"/>
          <w:highlight w:val="none"/>
        </w:rPr>
      </w:pPr>
    </w:p>
    <w:p>
      <w:pPr>
        <w:outlineLvl w:val="9"/>
        <w:rPr>
          <w:color w:val="auto"/>
          <w:szCs w:val="21"/>
          <w:highlight w:val="none"/>
        </w:rPr>
      </w:pPr>
    </w:p>
    <w:p>
      <w:pPr>
        <w:pStyle w:val="30"/>
        <w:outlineLvl w:val="9"/>
        <w:rPr>
          <w:rFonts w:eastAsia="宋体"/>
          <w:color w:val="auto"/>
          <w:szCs w:val="21"/>
          <w:highlight w:val="none"/>
        </w:rPr>
      </w:pPr>
    </w:p>
    <w:p>
      <w:pPr>
        <w:outlineLvl w:val="9"/>
        <w:rPr>
          <w:color w:val="auto"/>
          <w:szCs w:val="21"/>
          <w:highlight w:val="none"/>
        </w:rPr>
      </w:pPr>
    </w:p>
    <w:p>
      <w:pPr>
        <w:pStyle w:val="30"/>
        <w:outlineLvl w:val="9"/>
        <w:rPr>
          <w:rFonts w:eastAsia="宋体"/>
          <w:color w:val="auto"/>
          <w:szCs w:val="21"/>
          <w:highlight w:val="none"/>
        </w:rPr>
      </w:pPr>
    </w:p>
    <w:p>
      <w:pPr>
        <w:outlineLvl w:val="9"/>
        <w:rPr>
          <w:color w:val="auto"/>
          <w:szCs w:val="21"/>
          <w:highlight w:val="none"/>
        </w:rPr>
      </w:pPr>
    </w:p>
    <w:p>
      <w:pPr>
        <w:spacing w:line="480" w:lineRule="exact"/>
        <w:ind w:firstLine="420" w:firstLineChars="200"/>
        <w:outlineLvl w:val="9"/>
        <w:rPr>
          <w:color w:val="auto"/>
          <w:highlight w:val="none"/>
        </w:rPr>
      </w:pPr>
    </w:p>
    <w:p>
      <w:pPr>
        <w:rPr>
          <w:rFonts w:hint="eastAsia"/>
          <w:color w:val="auto"/>
          <w:highlight w:val="none"/>
        </w:rPr>
      </w:pPr>
      <w:r>
        <w:rPr>
          <w:rFonts w:hint="eastAsia"/>
          <w:color w:val="auto"/>
          <w:highlight w:val="none"/>
        </w:rPr>
        <w:br w:type="page"/>
      </w:r>
    </w:p>
    <w:p>
      <w:pPr>
        <w:pStyle w:val="20"/>
        <w:spacing w:line="240" w:lineRule="auto"/>
        <w:jc w:val="center"/>
        <w:outlineLvl w:val="2"/>
        <w:rPr>
          <w:color w:val="auto"/>
          <w:highlight w:val="none"/>
        </w:rPr>
      </w:pPr>
      <w:bookmarkStart w:id="2804" w:name="_Toc14224"/>
      <w:r>
        <w:rPr>
          <w:rFonts w:hint="eastAsia"/>
          <w:color w:val="auto"/>
          <w:highlight w:val="none"/>
        </w:rPr>
        <w:t>一、投标函及投标函附录</w:t>
      </w:r>
      <w:bookmarkEnd w:id="2796"/>
      <w:bookmarkEnd w:id="2797"/>
      <w:bookmarkEnd w:id="2798"/>
      <w:bookmarkEnd w:id="2799"/>
      <w:bookmarkEnd w:id="2800"/>
      <w:bookmarkEnd w:id="2801"/>
      <w:bookmarkEnd w:id="2802"/>
      <w:bookmarkEnd w:id="2804"/>
    </w:p>
    <w:p>
      <w:pPr>
        <w:spacing w:line="480" w:lineRule="exact"/>
        <w:ind w:firstLine="560" w:firstLineChars="200"/>
        <w:rPr>
          <w:color w:val="auto"/>
          <w:sz w:val="28"/>
          <w:szCs w:val="28"/>
          <w:highlight w:val="none"/>
        </w:rPr>
      </w:pPr>
      <w:bookmarkStart w:id="2805" w:name="_Toc30739"/>
      <w:bookmarkStart w:id="2806" w:name="_Toc456647868"/>
      <w:bookmarkStart w:id="2807" w:name="_Toc27505"/>
      <w:bookmarkStart w:id="2808" w:name="_Toc73"/>
      <w:bookmarkStart w:id="2809" w:name="_Toc1046868170"/>
      <w:bookmarkStart w:id="2810" w:name="_Toc3570"/>
      <w:bookmarkStart w:id="2811" w:name="_Toc14443"/>
    </w:p>
    <w:p>
      <w:pPr>
        <w:pStyle w:val="32"/>
        <w:jc w:val="center"/>
        <w:outlineLvl w:val="3"/>
        <w:rPr>
          <w:color w:val="auto"/>
          <w:sz w:val="28"/>
          <w:szCs w:val="28"/>
          <w:highlight w:val="none"/>
        </w:rPr>
      </w:pPr>
      <w:bookmarkStart w:id="2812" w:name="_Toc6910"/>
      <w:bookmarkStart w:id="2813" w:name="_Toc1159392808"/>
      <w:r>
        <w:rPr>
          <w:rFonts w:hint="eastAsia"/>
          <w:color w:val="auto"/>
          <w:sz w:val="28"/>
          <w:szCs w:val="28"/>
          <w:highlight w:val="none"/>
        </w:rPr>
        <w:t>（一）投标函</w:t>
      </w:r>
      <w:bookmarkEnd w:id="2803"/>
      <w:bookmarkEnd w:id="2805"/>
      <w:bookmarkEnd w:id="2806"/>
      <w:bookmarkEnd w:id="2807"/>
      <w:bookmarkEnd w:id="2808"/>
      <w:bookmarkEnd w:id="2809"/>
      <w:bookmarkEnd w:id="2810"/>
      <w:bookmarkEnd w:id="2811"/>
      <w:bookmarkEnd w:id="2812"/>
      <w:bookmarkEnd w:id="2813"/>
    </w:p>
    <w:p>
      <w:pPr>
        <w:spacing w:line="440" w:lineRule="exact"/>
        <w:rPr>
          <w:color w:val="auto"/>
          <w:szCs w:val="21"/>
          <w:highlight w:val="none"/>
        </w:rPr>
      </w:pPr>
      <w:r>
        <w:rPr>
          <w:rFonts w:hint="eastAsia"/>
          <w:color w:val="auto"/>
          <w:highlight w:val="none"/>
          <w:u w:val="single"/>
          <w:lang w:val="en-US" w:eastAsia="zh-CN"/>
        </w:rPr>
        <w:t xml:space="preserve">     </w:t>
      </w:r>
      <w:r>
        <w:rPr>
          <w:color w:val="auto"/>
          <w:szCs w:val="21"/>
          <w:highlight w:val="none"/>
        </w:rPr>
        <w:t>（招标人名称）：</w:t>
      </w:r>
    </w:p>
    <w:p>
      <w:pPr>
        <w:spacing w:line="480" w:lineRule="exact"/>
        <w:ind w:firstLine="420" w:firstLineChars="200"/>
        <w:rPr>
          <w:color w:val="auto"/>
          <w:szCs w:val="21"/>
          <w:highlight w:val="none"/>
        </w:rPr>
      </w:pPr>
      <w:r>
        <w:rPr>
          <w:color w:val="auto"/>
          <w:szCs w:val="21"/>
          <w:highlight w:val="none"/>
        </w:rPr>
        <w:t>1．我方已仔细研究了（项目名称）标段施工招标文件的全部内容，愿意以人民币（大写）</w:t>
      </w:r>
      <w:r>
        <w:rPr>
          <w:rFonts w:hint="eastAsia"/>
          <w:color w:val="auto"/>
          <w:highlight w:val="none"/>
          <w:u w:val="single"/>
          <w:lang w:val="en-US" w:eastAsia="zh-CN"/>
        </w:rPr>
        <w:t xml:space="preserve">     </w:t>
      </w:r>
      <w:r>
        <w:rPr>
          <w:color w:val="auto"/>
          <w:szCs w:val="21"/>
          <w:highlight w:val="none"/>
        </w:rPr>
        <w:t>元（¥</w:t>
      </w:r>
      <w:r>
        <w:rPr>
          <w:rFonts w:hint="eastAsia"/>
          <w:color w:val="auto"/>
          <w:highlight w:val="none"/>
          <w:u w:val="single"/>
          <w:lang w:val="en-US" w:eastAsia="zh-CN"/>
        </w:rPr>
        <w:t xml:space="preserve">     </w:t>
      </w:r>
      <w:r>
        <w:rPr>
          <w:color w:val="auto"/>
          <w:szCs w:val="21"/>
          <w:highlight w:val="none"/>
        </w:rPr>
        <w:t>）的投标总报价</w:t>
      </w:r>
      <w:r>
        <w:rPr>
          <w:rFonts w:hint="eastAsia"/>
          <w:color w:val="auto"/>
          <w:szCs w:val="21"/>
          <w:highlight w:val="none"/>
        </w:rPr>
        <w:t>（其中</w:t>
      </w:r>
      <w:r>
        <w:rPr>
          <w:rFonts w:hint="eastAsia" w:ascii="宋体" w:hAnsi="宋体"/>
          <w:color w:val="auto"/>
          <w:szCs w:val="21"/>
          <w:highlight w:val="none"/>
        </w:rPr>
        <w:t xml:space="preserve">暂列金额 </w:t>
      </w:r>
      <w:r>
        <w:rPr>
          <w:color w:val="auto"/>
          <w:szCs w:val="21"/>
          <w:highlight w:val="none"/>
        </w:rPr>
        <w:t>¥</w:t>
      </w:r>
      <w:r>
        <w:rPr>
          <w:rFonts w:hint="eastAsia" w:ascii="宋体" w:hAnsi="宋体"/>
          <w:color w:val="auto"/>
          <w:szCs w:val="21"/>
          <w:highlight w:val="none"/>
        </w:rPr>
        <w:t>：</w:t>
      </w:r>
      <w:r>
        <w:rPr>
          <w:rFonts w:hint="eastAsia"/>
          <w:color w:val="auto"/>
          <w:highlight w:val="none"/>
          <w:u w:val="single"/>
          <w:lang w:val="en-US" w:eastAsia="zh-CN"/>
        </w:rPr>
        <w:t xml:space="preserve">     </w:t>
      </w:r>
      <w:r>
        <w:rPr>
          <w:rFonts w:hint="eastAsia" w:ascii="宋体" w:hAnsi="宋体"/>
          <w:color w:val="auto"/>
          <w:szCs w:val="21"/>
          <w:highlight w:val="none"/>
        </w:rPr>
        <w:t>元</w:t>
      </w:r>
      <w:r>
        <w:rPr>
          <w:rFonts w:hint="eastAsia"/>
          <w:color w:val="auto"/>
          <w:szCs w:val="21"/>
          <w:highlight w:val="none"/>
        </w:rPr>
        <w:t>）</w:t>
      </w:r>
      <w:r>
        <w:rPr>
          <w:rFonts w:hint="eastAsia" w:ascii="宋体" w:hAnsi="宋体"/>
          <w:color w:val="auto"/>
          <w:szCs w:val="21"/>
          <w:highlight w:val="none"/>
        </w:rPr>
        <w:t>，</w:t>
      </w:r>
      <w:r>
        <w:rPr>
          <w:rFonts w:hint="eastAsia"/>
          <w:color w:val="auto"/>
          <w:szCs w:val="21"/>
          <w:highlight w:val="none"/>
        </w:rPr>
        <w:t xml:space="preserve">工期 </w:t>
      </w:r>
      <w:r>
        <w:rPr>
          <w:rFonts w:hint="eastAsia"/>
          <w:color w:val="auto"/>
          <w:highlight w:val="none"/>
          <w:u w:val="single"/>
          <w:lang w:val="en-US" w:eastAsia="zh-CN"/>
        </w:rPr>
        <w:t xml:space="preserve">     </w:t>
      </w:r>
      <w:r>
        <w:rPr>
          <w:rFonts w:hint="eastAsia"/>
          <w:color w:val="auto"/>
          <w:szCs w:val="21"/>
          <w:highlight w:val="none"/>
        </w:rPr>
        <w:t>日历天，</w:t>
      </w:r>
      <w:r>
        <w:rPr>
          <w:color w:val="auto"/>
          <w:szCs w:val="21"/>
          <w:highlight w:val="none"/>
        </w:rPr>
        <w:t>按合同约定实施和完成承包工程，修补工程中的任何缺陷，工程质量达到 。</w:t>
      </w:r>
    </w:p>
    <w:p>
      <w:pPr>
        <w:spacing w:line="480" w:lineRule="exact"/>
        <w:ind w:firstLine="420" w:firstLineChars="200"/>
        <w:rPr>
          <w:rFonts w:ascii="宋体" w:hAnsi="宋体"/>
          <w:color w:val="auto"/>
          <w:szCs w:val="21"/>
          <w:highlight w:val="none"/>
        </w:rPr>
      </w:pPr>
      <w:r>
        <w:rPr>
          <w:rFonts w:hint="eastAsia"/>
          <w:color w:val="auto"/>
          <w:szCs w:val="21"/>
          <w:highlight w:val="none"/>
        </w:rPr>
        <w:t>2. 我方拟派的项目负责人</w:t>
      </w:r>
      <w:r>
        <w:rPr>
          <w:color w:val="auto"/>
          <w:szCs w:val="21"/>
          <w:highlight w:val="none"/>
        </w:rPr>
        <w:t>：</w:t>
      </w:r>
      <w:r>
        <w:rPr>
          <w:rFonts w:hint="eastAsia"/>
          <w:color w:val="auto"/>
          <w:highlight w:val="none"/>
          <w:u w:val="single"/>
          <w:lang w:val="en-US" w:eastAsia="zh-CN"/>
        </w:rPr>
        <w:t xml:space="preserve">     </w:t>
      </w:r>
      <w:r>
        <w:rPr>
          <w:rFonts w:hint="eastAsia"/>
          <w:color w:val="auto"/>
          <w:szCs w:val="21"/>
          <w:highlight w:val="none"/>
        </w:rPr>
        <w:t>（姓名），证书名称：</w:t>
      </w:r>
      <w:r>
        <w:rPr>
          <w:rFonts w:hint="eastAsia"/>
          <w:color w:val="auto"/>
          <w:highlight w:val="none"/>
          <w:u w:val="single"/>
          <w:lang w:val="en-US" w:eastAsia="zh-CN"/>
        </w:rPr>
        <w:t xml:space="preserve">     </w:t>
      </w:r>
      <w:r>
        <w:rPr>
          <w:rFonts w:hint="eastAsia"/>
          <w:color w:val="auto"/>
          <w:szCs w:val="21"/>
          <w:highlight w:val="none"/>
        </w:rPr>
        <w:t>，证书编号：</w:t>
      </w:r>
      <w:r>
        <w:rPr>
          <w:rFonts w:hint="eastAsia"/>
          <w:color w:val="auto"/>
          <w:highlight w:val="none"/>
          <w:u w:val="single"/>
          <w:lang w:val="en-US" w:eastAsia="zh-CN"/>
        </w:rPr>
        <w:t xml:space="preserve">     </w:t>
      </w:r>
      <w:r>
        <w:rPr>
          <w:rFonts w:hint="eastAsia"/>
          <w:color w:val="auto"/>
          <w:szCs w:val="21"/>
          <w:highlight w:val="none"/>
        </w:rPr>
        <w:t>。</w:t>
      </w:r>
    </w:p>
    <w:p>
      <w:pPr>
        <w:spacing w:line="440" w:lineRule="exact"/>
        <w:ind w:firstLine="420" w:firstLineChars="200"/>
        <w:rPr>
          <w:color w:val="auto"/>
          <w:szCs w:val="21"/>
          <w:highlight w:val="none"/>
        </w:rPr>
      </w:pPr>
      <w:r>
        <w:rPr>
          <w:rFonts w:hint="eastAsia"/>
          <w:color w:val="auto"/>
          <w:szCs w:val="21"/>
          <w:highlight w:val="none"/>
        </w:rPr>
        <w:t>3</w:t>
      </w:r>
      <w:r>
        <w:rPr>
          <w:color w:val="auto"/>
          <w:szCs w:val="21"/>
          <w:highlight w:val="none"/>
        </w:rPr>
        <w:t>．我方承诺在投标有效期</w:t>
      </w:r>
      <w:r>
        <w:rPr>
          <w:rFonts w:hint="eastAsia"/>
          <w:color w:val="auto"/>
          <w:szCs w:val="21"/>
          <w:highlight w:val="none"/>
        </w:rPr>
        <w:t>天</w:t>
      </w:r>
      <w:r>
        <w:rPr>
          <w:color w:val="auto"/>
          <w:szCs w:val="21"/>
          <w:highlight w:val="none"/>
        </w:rPr>
        <w:t>内不修改、撤销投标文件。</w:t>
      </w:r>
    </w:p>
    <w:p>
      <w:pPr>
        <w:spacing w:line="440" w:lineRule="exact"/>
        <w:ind w:firstLine="420" w:firstLineChars="200"/>
        <w:rPr>
          <w:color w:val="auto"/>
          <w:szCs w:val="21"/>
          <w:highlight w:val="none"/>
        </w:rPr>
      </w:pPr>
      <w:r>
        <w:rPr>
          <w:rFonts w:hint="eastAsia"/>
          <w:color w:val="auto"/>
          <w:szCs w:val="21"/>
          <w:highlight w:val="none"/>
        </w:rPr>
        <w:t>4</w:t>
      </w:r>
      <w:r>
        <w:rPr>
          <w:color w:val="auto"/>
          <w:szCs w:val="21"/>
          <w:highlight w:val="none"/>
        </w:rPr>
        <w:t>．随同本投标函提交投标保证金一份，金额为人民币（大写）</w:t>
      </w:r>
      <w:r>
        <w:rPr>
          <w:rFonts w:hint="eastAsia"/>
          <w:color w:val="auto"/>
          <w:highlight w:val="none"/>
          <w:u w:val="single"/>
          <w:lang w:val="en-US" w:eastAsia="zh-CN"/>
        </w:rPr>
        <w:t xml:space="preserve">     </w:t>
      </w:r>
      <w:r>
        <w:rPr>
          <w:color w:val="auto"/>
          <w:szCs w:val="21"/>
          <w:highlight w:val="none"/>
        </w:rPr>
        <w:t xml:space="preserve">元（¥ </w:t>
      </w:r>
      <w:r>
        <w:rPr>
          <w:rFonts w:hint="eastAsia"/>
          <w:color w:val="auto"/>
          <w:highlight w:val="none"/>
          <w:u w:val="single"/>
          <w:lang w:val="en-US" w:eastAsia="zh-CN"/>
        </w:rPr>
        <w:t xml:space="preserve">     </w:t>
      </w:r>
      <w:r>
        <w:rPr>
          <w:color w:val="auto"/>
          <w:szCs w:val="21"/>
          <w:highlight w:val="none"/>
        </w:rPr>
        <w:t>）。</w:t>
      </w:r>
    </w:p>
    <w:p>
      <w:pPr>
        <w:spacing w:line="440" w:lineRule="exact"/>
        <w:ind w:firstLine="420" w:firstLineChars="200"/>
        <w:rPr>
          <w:color w:val="auto"/>
          <w:szCs w:val="21"/>
          <w:highlight w:val="none"/>
        </w:rPr>
      </w:pPr>
      <w:r>
        <w:rPr>
          <w:rFonts w:hint="eastAsia"/>
          <w:color w:val="auto"/>
          <w:szCs w:val="21"/>
          <w:highlight w:val="none"/>
        </w:rPr>
        <w:t>5</w:t>
      </w:r>
      <w:r>
        <w:rPr>
          <w:color w:val="auto"/>
          <w:szCs w:val="21"/>
          <w:highlight w:val="none"/>
        </w:rPr>
        <w:t>．如我方中标：</w:t>
      </w:r>
    </w:p>
    <w:p>
      <w:pPr>
        <w:spacing w:line="440" w:lineRule="exact"/>
        <w:ind w:firstLine="718" w:firstLineChars="342"/>
        <w:rPr>
          <w:color w:val="auto"/>
          <w:szCs w:val="21"/>
          <w:highlight w:val="none"/>
        </w:rPr>
      </w:pPr>
      <w:r>
        <w:rPr>
          <w:color w:val="auto"/>
          <w:szCs w:val="21"/>
          <w:highlight w:val="none"/>
        </w:rPr>
        <w:t>（1）我方承诺在收到中标通知书后，在中标通知书规定的期限内与你方签订合同。</w:t>
      </w:r>
    </w:p>
    <w:p>
      <w:pPr>
        <w:spacing w:line="440" w:lineRule="exact"/>
        <w:ind w:firstLine="718" w:firstLineChars="342"/>
        <w:rPr>
          <w:color w:val="auto"/>
          <w:szCs w:val="21"/>
          <w:highlight w:val="none"/>
        </w:rPr>
      </w:pPr>
      <w:r>
        <w:rPr>
          <w:color w:val="auto"/>
          <w:szCs w:val="21"/>
          <w:highlight w:val="none"/>
        </w:rPr>
        <w:t>（2）随同本投标函递交的投标函附录属于合同文件的组成部分。</w:t>
      </w:r>
    </w:p>
    <w:p>
      <w:pPr>
        <w:spacing w:line="440" w:lineRule="exact"/>
        <w:ind w:firstLine="718" w:firstLineChars="342"/>
        <w:rPr>
          <w:color w:val="auto"/>
          <w:szCs w:val="21"/>
          <w:highlight w:val="none"/>
        </w:rPr>
      </w:pPr>
      <w:r>
        <w:rPr>
          <w:color w:val="auto"/>
          <w:szCs w:val="21"/>
          <w:highlight w:val="none"/>
        </w:rPr>
        <w:t>（3）我方承诺按照招标文件规定向你方递交履约</w:t>
      </w:r>
      <w:r>
        <w:rPr>
          <w:rFonts w:hint="eastAsia"/>
          <w:color w:val="auto"/>
          <w:szCs w:val="21"/>
          <w:highlight w:val="none"/>
        </w:rPr>
        <w:t>保证金</w:t>
      </w:r>
      <w:r>
        <w:rPr>
          <w:color w:val="auto"/>
          <w:szCs w:val="21"/>
          <w:highlight w:val="none"/>
        </w:rPr>
        <w:t>。</w:t>
      </w:r>
    </w:p>
    <w:p>
      <w:pPr>
        <w:spacing w:line="440" w:lineRule="exact"/>
        <w:ind w:firstLine="718" w:firstLineChars="342"/>
        <w:rPr>
          <w:color w:val="auto"/>
          <w:szCs w:val="21"/>
          <w:highlight w:val="none"/>
        </w:rPr>
      </w:pPr>
      <w:r>
        <w:rPr>
          <w:color w:val="auto"/>
          <w:szCs w:val="21"/>
          <w:highlight w:val="none"/>
        </w:rPr>
        <w:t>（4）我方承诺在合同约定的期限内完成并移交全部合同工程。</w:t>
      </w:r>
    </w:p>
    <w:p>
      <w:pPr>
        <w:spacing w:line="440" w:lineRule="exact"/>
        <w:ind w:firstLine="420" w:firstLineChars="200"/>
        <w:rPr>
          <w:color w:val="auto"/>
          <w:szCs w:val="21"/>
          <w:highlight w:val="none"/>
        </w:rPr>
      </w:pPr>
      <w:r>
        <w:rPr>
          <w:rFonts w:hint="eastAsia"/>
          <w:color w:val="auto"/>
          <w:szCs w:val="21"/>
          <w:highlight w:val="none"/>
        </w:rPr>
        <w:t>6</w:t>
      </w:r>
      <w:r>
        <w:rPr>
          <w:color w:val="auto"/>
          <w:szCs w:val="21"/>
          <w:highlight w:val="none"/>
        </w:rPr>
        <w:t>．</w:t>
      </w:r>
      <w:r>
        <w:rPr>
          <w:rFonts w:hint="eastAsia"/>
          <w:color w:val="auto"/>
          <w:highlight w:val="none"/>
        </w:rPr>
        <w:t>我方在此声明，所递交的投标文件及有关资料内容完整、真实和准确，且不存在第二章“投标人须知”第1.4.3项规定的任何一种情形。</w:t>
      </w:r>
    </w:p>
    <w:p>
      <w:pPr>
        <w:spacing w:line="440" w:lineRule="exact"/>
        <w:ind w:firstLine="420" w:firstLineChars="200"/>
        <w:rPr>
          <w:color w:val="auto"/>
          <w:szCs w:val="21"/>
          <w:highlight w:val="none"/>
        </w:rPr>
      </w:pPr>
      <w:r>
        <w:rPr>
          <w:rFonts w:hint="eastAsia"/>
          <w:color w:val="auto"/>
          <w:szCs w:val="21"/>
          <w:highlight w:val="none"/>
        </w:rPr>
        <w:t>7．</w:t>
      </w:r>
      <w:r>
        <w:rPr>
          <w:color w:val="auto"/>
          <w:szCs w:val="21"/>
          <w:highlight w:val="none"/>
        </w:rPr>
        <w:t>（</w:t>
      </w:r>
      <w:r>
        <w:rPr>
          <w:rFonts w:hint="eastAsia"/>
          <w:color w:val="auto"/>
          <w:szCs w:val="21"/>
          <w:highlight w:val="none"/>
        </w:rPr>
        <w:t>其他</w:t>
      </w:r>
      <w:r>
        <w:rPr>
          <w:color w:val="auto"/>
          <w:szCs w:val="21"/>
          <w:highlight w:val="none"/>
        </w:rPr>
        <w:t>补充说明）。</w:t>
      </w:r>
    </w:p>
    <w:p>
      <w:pPr>
        <w:spacing w:line="440" w:lineRule="exact"/>
        <w:ind w:firstLine="3675" w:firstLineChars="1750"/>
        <w:rPr>
          <w:color w:val="auto"/>
          <w:szCs w:val="21"/>
          <w:highlight w:val="none"/>
        </w:rPr>
      </w:pPr>
    </w:p>
    <w:p>
      <w:pPr>
        <w:spacing w:line="380" w:lineRule="exact"/>
        <w:ind w:firstLine="3675" w:firstLineChars="1750"/>
        <w:rPr>
          <w:color w:val="auto"/>
          <w:szCs w:val="21"/>
          <w:highlight w:val="none"/>
        </w:rPr>
      </w:pPr>
      <w:r>
        <w:rPr>
          <w:color w:val="auto"/>
          <w:szCs w:val="21"/>
          <w:highlight w:val="none"/>
        </w:rPr>
        <w:t>投 标 人：（盖单位章）</w:t>
      </w:r>
    </w:p>
    <w:p>
      <w:pPr>
        <w:spacing w:line="380" w:lineRule="exact"/>
        <w:ind w:firstLine="3675" w:firstLineChars="1750"/>
        <w:rPr>
          <w:color w:val="auto"/>
          <w:szCs w:val="21"/>
          <w:highlight w:val="none"/>
        </w:rPr>
      </w:pPr>
      <w:r>
        <w:rPr>
          <w:color w:val="auto"/>
          <w:szCs w:val="21"/>
          <w:highlight w:val="none"/>
        </w:rPr>
        <w:t>法定代表人：（签字）</w:t>
      </w:r>
    </w:p>
    <w:p>
      <w:pPr>
        <w:spacing w:line="380" w:lineRule="exact"/>
        <w:ind w:firstLine="3675" w:firstLineChars="1750"/>
        <w:rPr>
          <w:color w:val="auto"/>
          <w:szCs w:val="21"/>
          <w:highlight w:val="none"/>
        </w:rPr>
      </w:pPr>
      <w:r>
        <w:rPr>
          <w:color w:val="auto"/>
          <w:szCs w:val="21"/>
          <w:highlight w:val="none"/>
        </w:rPr>
        <w:t>地址：</w:t>
      </w:r>
    </w:p>
    <w:p>
      <w:pPr>
        <w:spacing w:line="380" w:lineRule="exact"/>
        <w:ind w:firstLine="3675" w:firstLineChars="1750"/>
        <w:rPr>
          <w:color w:val="auto"/>
          <w:szCs w:val="21"/>
          <w:highlight w:val="none"/>
        </w:rPr>
      </w:pPr>
      <w:r>
        <w:rPr>
          <w:color w:val="auto"/>
          <w:szCs w:val="21"/>
          <w:highlight w:val="none"/>
        </w:rPr>
        <w:t>网址：</w:t>
      </w:r>
    </w:p>
    <w:p>
      <w:pPr>
        <w:spacing w:line="380" w:lineRule="exact"/>
        <w:ind w:firstLine="3675" w:firstLineChars="1750"/>
        <w:rPr>
          <w:color w:val="auto"/>
          <w:szCs w:val="21"/>
          <w:highlight w:val="none"/>
        </w:rPr>
      </w:pPr>
      <w:r>
        <w:rPr>
          <w:color w:val="auto"/>
          <w:szCs w:val="21"/>
          <w:highlight w:val="none"/>
        </w:rPr>
        <w:t>电话：</w:t>
      </w:r>
    </w:p>
    <w:p>
      <w:pPr>
        <w:spacing w:line="380" w:lineRule="exact"/>
        <w:ind w:firstLine="3675" w:firstLineChars="1750"/>
        <w:rPr>
          <w:color w:val="auto"/>
          <w:szCs w:val="21"/>
          <w:highlight w:val="none"/>
        </w:rPr>
      </w:pPr>
      <w:r>
        <w:rPr>
          <w:color w:val="auto"/>
          <w:szCs w:val="21"/>
          <w:highlight w:val="none"/>
        </w:rPr>
        <w:t>传真：</w:t>
      </w:r>
    </w:p>
    <w:p>
      <w:pPr>
        <w:spacing w:line="380" w:lineRule="exact"/>
        <w:ind w:firstLine="3675" w:firstLineChars="1750"/>
        <w:rPr>
          <w:color w:val="auto"/>
          <w:szCs w:val="21"/>
          <w:highlight w:val="none"/>
        </w:rPr>
      </w:pPr>
      <w:r>
        <w:rPr>
          <w:color w:val="auto"/>
          <w:szCs w:val="21"/>
          <w:highlight w:val="none"/>
        </w:rPr>
        <w:t>邮政编码：</w:t>
      </w:r>
    </w:p>
    <w:p>
      <w:pPr>
        <w:spacing w:line="380" w:lineRule="exact"/>
        <w:ind w:firstLine="5040" w:firstLineChars="2400"/>
        <w:rPr>
          <w:color w:val="auto"/>
          <w:szCs w:val="21"/>
          <w:highlight w:val="none"/>
        </w:rPr>
      </w:pP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日</w:t>
      </w:r>
    </w:p>
    <w:p>
      <w:pPr>
        <w:rPr>
          <w:b/>
          <w:color w:val="auto"/>
          <w:sz w:val="28"/>
          <w:szCs w:val="28"/>
          <w:highlight w:val="none"/>
        </w:rPr>
      </w:pPr>
    </w:p>
    <w:p>
      <w:pPr>
        <w:tabs>
          <w:tab w:val="left" w:pos="3975"/>
        </w:tabs>
        <w:ind w:left="630" w:hanging="630" w:hangingChars="300"/>
        <w:rPr>
          <w:rFonts w:ascii="宋体" w:hAnsi="宋体"/>
          <w:color w:val="auto"/>
          <w:szCs w:val="21"/>
          <w:highlight w:val="none"/>
        </w:rPr>
      </w:pPr>
      <w:r>
        <w:rPr>
          <w:rFonts w:hint="eastAsia" w:ascii="宋体" w:hAnsi="宋体"/>
          <w:color w:val="auto"/>
          <w:szCs w:val="21"/>
          <w:highlight w:val="none"/>
        </w:rPr>
        <w:t xml:space="preserve">备注：项目负责人应为注册类执业资格，证书名称应填写 </w:t>
      </w:r>
      <w:r>
        <w:rPr>
          <w:rFonts w:hint="eastAsia" w:ascii="宋体" w:hAnsi="宋体"/>
          <w:color w:val="auto"/>
          <w:szCs w:val="21"/>
          <w:highlight w:val="none"/>
          <w:u w:val="single"/>
        </w:rPr>
        <w:t>专业类别 级别 注册建造师</w:t>
      </w:r>
      <w:r>
        <w:rPr>
          <w:rFonts w:hint="eastAsia" w:ascii="宋体" w:hAnsi="宋体"/>
          <w:color w:val="auto"/>
          <w:szCs w:val="21"/>
          <w:highlight w:val="none"/>
        </w:rPr>
        <w:t>，证书编号应填写注册执业证书编号。</w:t>
      </w:r>
    </w:p>
    <w:p>
      <w:pPr>
        <w:rPr>
          <w:color w:val="auto"/>
          <w:sz w:val="28"/>
          <w:szCs w:val="28"/>
          <w:highlight w:val="none"/>
        </w:rPr>
      </w:pPr>
      <w:bookmarkStart w:id="2814" w:name="_Toc24341"/>
      <w:bookmarkStart w:id="2815" w:name="_Toc29010"/>
      <w:bookmarkStart w:id="2816" w:name="_Toc23657"/>
      <w:bookmarkStart w:id="2817" w:name="_Toc1329492905"/>
      <w:bookmarkStart w:id="2818" w:name="_Toc403382859"/>
      <w:bookmarkStart w:id="2819" w:name="_Toc456647869"/>
      <w:bookmarkStart w:id="2820" w:name="_Toc1757017714"/>
      <w:bookmarkStart w:id="2821" w:name="_Toc32210"/>
      <w:bookmarkStart w:id="2822" w:name="_Toc29366"/>
      <w:r>
        <w:rPr>
          <w:rFonts w:hint="eastAsia"/>
          <w:color w:val="auto"/>
          <w:sz w:val="28"/>
          <w:szCs w:val="28"/>
          <w:highlight w:val="none"/>
        </w:rPr>
        <w:br w:type="page"/>
      </w:r>
    </w:p>
    <w:p>
      <w:pPr>
        <w:pStyle w:val="32"/>
        <w:numPr>
          <w:ilvl w:val="0"/>
          <w:numId w:val="5"/>
        </w:numPr>
        <w:jc w:val="center"/>
        <w:outlineLvl w:val="3"/>
        <w:rPr>
          <w:color w:val="auto"/>
          <w:sz w:val="28"/>
          <w:szCs w:val="28"/>
          <w:highlight w:val="none"/>
        </w:rPr>
      </w:pPr>
      <w:bookmarkStart w:id="2823" w:name="_Toc24565"/>
      <w:r>
        <w:rPr>
          <w:rFonts w:hint="eastAsia"/>
          <w:color w:val="auto"/>
          <w:sz w:val="28"/>
          <w:szCs w:val="28"/>
          <w:highlight w:val="none"/>
        </w:rPr>
        <w:t>投标函附录</w:t>
      </w:r>
      <w:bookmarkEnd w:id="2814"/>
      <w:bookmarkEnd w:id="2815"/>
      <w:bookmarkEnd w:id="2816"/>
      <w:bookmarkEnd w:id="2817"/>
      <w:bookmarkEnd w:id="2818"/>
      <w:bookmarkEnd w:id="2819"/>
      <w:bookmarkEnd w:id="2820"/>
      <w:bookmarkEnd w:id="2821"/>
      <w:bookmarkEnd w:id="2822"/>
      <w:bookmarkEnd w:id="2823"/>
    </w:p>
    <w:p>
      <w:pPr>
        <w:rPr>
          <w:color w:val="auto"/>
          <w:sz w:val="28"/>
          <w:szCs w:val="28"/>
          <w:highlight w:val="none"/>
        </w:rPr>
      </w:pPr>
    </w:p>
    <w:p>
      <w:pPr>
        <w:rPr>
          <w:rFonts w:ascii="宋体" w:hAnsi="宋体"/>
          <w:b/>
          <w:color w:val="auto"/>
          <w:szCs w:val="21"/>
          <w:highlight w:val="none"/>
        </w:rPr>
      </w:pPr>
    </w:p>
    <w:p>
      <w:pPr>
        <w:rPr>
          <w:color w:val="auto"/>
          <w:highlight w:val="none"/>
        </w:rPr>
      </w:pPr>
      <w:r>
        <w:rPr>
          <w:rFonts w:hint="eastAsia" w:ascii="宋体" w:hAnsi="宋体"/>
          <w:color w:val="auto"/>
          <w:szCs w:val="21"/>
          <w:highlight w:val="none"/>
        </w:rPr>
        <w:t>工程名称：（项目名称）</w:t>
      </w:r>
      <w:r>
        <w:rPr>
          <w:rFonts w:hint="eastAsia"/>
          <w:color w:val="auto"/>
          <w:highlight w:val="none"/>
        </w:rPr>
        <w:t>（标段名称）</w:t>
      </w:r>
    </w:p>
    <w:p>
      <w:pPr>
        <w:spacing w:line="360" w:lineRule="auto"/>
        <w:rPr>
          <w:color w:val="auto"/>
          <w:highlight w:val="none"/>
        </w:rPr>
      </w:pPr>
    </w:p>
    <w:tbl>
      <w:tblPr>
        <w:tblStyle w:val="28"/>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399"/>
        <w:gridCol w:w="1314"/>
        <w:gridCol w:w="4207"/>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20" w:type="dxa"/>
            <w:vAlign w:val="center"/>
          </w:tcPr>
          <w:p>
            <w:pPr>
              <w:jc w:val="center"/>
              <w:rPr>
                <w:rFonts w:ascii="宋体" w:hAnsi="宋体"/>
                <w:color w:val="auto"/>
                <w:szCs w:val="21"/>
                <w:highlight w:val="none"/>
              </w:rPr>
            </w:pPr>
            <w:r>
              <w:rPr>
                <w:rFonts w:hint="eastAsia" w:ascii="宋体" w:hAnsi="宋体"/>
                <w:color w:val="auto"/>
                <w:szCs w:val="21"/>
                <w:highlight w:val="none"/>
              </w:rPr>
              <w:t>序号</w:t>
            </w:r>
          </w:p>
        </w:tc>
        <w:tc>
          <w:tcPr>
            <w:tcW w:w="2399" w:type="dxa"/>
            <w:vAlign w:val="center"/>
          </w:tcPr>
          <w:p>
            <w:pPr>
              <w:jc w:val="center"/>
              <w:rPr>
                <w:rFonts w:ascii="宋体" w:hAnsi="宋体"/>
                <w:color w:val="auto"/>
                <w:szCs w:val="21"/>
                <w:highlight w:val="none"/>
              </w:rPr>
            </w:pPr>
            <w:r>
              <w:rPr>
                <w:rFonts w:hint="eastAsia" w:ascii="宋体" w:hAnsi="宋体"/>
                <w:color w:val="auto"/>
                <w:szCs w:val="21"/>
                <w:highlight w:val="none"/>
              </w:rPr>
              <w:t>条款内容</w:t>
            </w:r>
          </w:p>
        </w:tc>
        <w:tc>
          <w:tcPr>
            <w:tcW w:w="1314" w:type="dxa"/>
            <w:vAlign w:val="center"/>
          </w:tcPr>
          <w:p>
            <w:pPr>
              <w:jc w:val="center"/>
              <w:rPr>
                <w:rFonts w:ascii="宋体" w:hAnsi="宋体"/>
                <w:color w:val="auto"/>
                <w:szCs w:val="21"/>
                <w:highlight w:val="none"/>
              </w:rPr>
            </w:pPr>
            <w:r>
              <w:rPr>
                <w:rFonts w:hint="eastAsia" w:ascii="宋体" w:hAnsi="宋体"/>
                <w:color w:val="auto"/>
                <w:szCs w:val="21"/>
                <w:highlight w:val="none"/>
              </w:rPr>
              <w:t>合同条款号</w:t>
            </w:r>
          </w:p>
        </w:tc>
        <w:tc>
          <w:tcPr>
            <w:tcW w:w="4207" w:type="dxa"/>
            <w:vAlign w:val="center"/>
          </w:tcPr>
          <w:p>
            <w:pPr>
              <w:jc w:val="center"/>
              <w:rPr>
                <w:rFonts w:ascii="宋体" w:hAnsi="宋体"/>
                <w:color w:val="auto"/>
                <w:szCs w:val="21"/>
                <w:highlight w:val="none"/>
              </w:rPr>
            </w:pPr>
            <w:r>
              <w:rPr>
                <w:rFonts w:hint="eastAsia" w:ascii="宋体" w:hAnsi="宋体"/>
                <w:color w:val="auto"/>
                <w:szCs w:val="21"/>
                <w:highlight w:val="none"/>
              </w:rPr>
              <w:t>约定内容</w:t>
            </w:r>
          </w:p>
        </w:tc>
        <w:tc>
          <w:tcPr>
            <w:tcW w:w="720" w:type="dxa"/>
            <w:vAlign w:val="center"/>
          </w:tcPr>
          <w:p>
            <w:pPr>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1</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项目负责人</w:t>
            </w:r>
          </w:p>
        </w:tc>
        <w:tc>
          <w:tcPr>
            <w:tcW w:w="1314" w:type="dxa"/>
            <w:vAlign w:val="center"/>
          </w:tcPr>
          <w:p>
            <w:pPr>
              <w:autoSpaceDE w:val="0"/>
              <w:autoSpaceDN w:val="0"/>
              <w:adjustRightInd w:val="0"/>
              <w:spacing w:before="50"/>
              <w:rPr>
                <w:rFonts w:ascii="宋体" w:hAnsi="宋体"/>
                <w:color w:val="auto"/>
                <w:szCs w:val="21"/>
                <w:highlight w:val="none"/>
              </w:rPr>
            </w:pPr>
            <w:r>
              <w:rPr>
                <w:rFonts w:ascii="宋体" w:hAnsi="宋体"/>
                <w:color w:val="auto"/>
                <w:szCs w:val="21"/>
                <w:highlight w:val="none"/>
              </w:rPr>
              <w:t>1.1.2.</w:t>
            </w:r>
            <w:r>
              <w:rPr>
                <w:rFonts w:hint="eastAsia" w:ascii="宋体" w:hAnsi="宋体"/>
                <w:color w:val="auto"/>
                <w:szCs w:val="21"/>
                <w:highlight w:val="none"/>
              </w:rPr>
              <w:t>8</w:t>
            </w:r>
          </w:p>
        </w:tc>
        <w:tc>
          <w:tcPr>
            <w:tcW w:w="4207" w:type="dxa"/>
            <w:vAlign w:val="center"/>
          </w:tcPr>
          <w:p>
            <w:pPr>
              <w:rPr>
                <w:rFonts w:ascii="宋体" w:hAnsi="宋体"/>
                <w:color w:val="auto"/>
                <w:szCs w:val="21"/>
                <w:highlight w:val="none"/>
              </w:rPr>
            </w:pPr>
            <w:r>
              <w:rPr>
                <w:rFonts w:hint="eastAsia" w:ascii="宋体" w:hAnsi="宋体"/>
                <w:color w:val="auto"/>
                <w:szCs w:val="21"/>
                <w:highlight w:val="none"/>
              </w:rPr>
              <w:t>（见投标函）</w:t>
            </w: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2</w:t>
            </w:r>
          </w:p>
        </w:tc>
        <w:tc>
          <w:tcPr>
            <w:tcW w:w="2399" w:type="dxa"/>
            <w:vAlign w:val="center"/>
          </w:tcPr>
          <w:p>
            <w:pPr>
              <w:rPr>
                <w:rFonts w:ascii="宋体" w:hAnsi="宋体"/>
                <w:color w:val="auto"/>
                <w:szCs w:val="21"/>
                <w:highlight w:val="none"/>
              </w:rPr>
            </w:pPr>
            <w:r>
              <w:rPr>
                <w:rFonts w:hint="eastAsia" w:ascii="宋体" w:hAnsi="宋体" w:cs="Arial"/>
                <w:color w:val="auto"/>
                <w:kern w:val="0"/>
                <w:szCs w:val="21"/>
                <w:highlight w:val="none"/>
              </w:rPr>
              <w:t>工期</w:t>
            </w:r>
          </w:p>
        </w:tc>
        <w:tc>
          <w:tcPr>
            <w:tcW w:w="1314" w:type="dxa"/>
            <w:vAlign w:val="center"/>
          </w:tcPr>
          <w:p>
            <w:pPr>
              <w:autoSpaceDE w:val="0"/>
              <w:autoSpaceDN w:val="0"/>
              <w:adjustRightInd w:val="0"/>
              <w:spacing w:before="50"/>
              <w:rPr>
                <w:rFonts w:ascii="宋体" w:hAnsi="宋体"/>
                <w:color w:val="auto"/>
                <w:szCs w:val="21"/>
                <w:highlight w:val="none"/>
              </w:rPr>
            </w:pPr>
            <w:r>
              <w:rPr>
                <w:rFonts w:hint="eastAsia" w:ascii="宋体" w:hAnsi="宋体"/>
                <w:color w:val="auto"/>
                <w:szCs w:val="21"/>
                <w:highlight w:val="none"/>
              </w:rPr>
              <w:t>1.1.4.3</w:t>
            </w:r>
          </w:p>
        </w:tc>
        <w:tc>
          <w:tcPr>
            <w:tcW w:w="4207" w:type="dxa"/>
            <w:vAlign w:val="center"/>
          </w:tcPr>
          <w:p>
            <w:pPr>
              <w:rPr>
                <w:rFonts w:ascii="宋体" w:hAnsi="宋体"/>
                <w:color w:val="auto"/>
                <w:szCs w:val="21"/>
                <w:highlight w:val="none"/>
              </w:rPr>
            </w:pPr>
            <w:r>
              <w:rPr>
                <w:rFonts w:hint="eastAsia" w:ascii="宋体" w:hAnsi="宋体"/>
                <w:color w:val="auto"/>
                <w:szCs w:val="21"/>
                <w:highlight w:val="none"/>
              </w:rPr>
              <w:t>（见投标函）</w:t>
            </w: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3</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缺陷责任期</w:t>
            </w:r>
          </w:p>
        </w:tc>
        <w:tc>
          <w:tcPr>
            <w:tcW w:w="1314" w:type="dxa"/>
            <w:tcMar>
              <w:left w:w="170" w:type="dxa"/>
            </w:tcMar>
            <w:vAlign w:val="center"/>
          </w:tcPr>
          <w:p>
            <w:pPr>
              <w:autoSpaceDE w:val="0"/>
              <w:autoSpaceDN w:val="0"/>
              <w:adjustRightInd w:val="0"/>
              <w:spacing w:before="50"/>
              <w:rPr>
                <w:rFonts w:ascii="宋体" w:hAnsi="宋体"/>
                <w:color w:val="auto"/>
                <w:szCs w:val="21"/>
                <w:highlight w:val="none"/>
              </w:rPr>
            </w:pPr>
            <w:r>
              <w:rPr>
                <w:rFonts w:hint="eastAsia" w:ascii="宋体" w:hAnsi="宋体"/>
                <w:color w:val="auto"/>
                <w:szCs w:val="21"/>
                <w:highlight w:val="none"/>
              </w:rPr>
              <w:t>1.1.4.4</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4</w:t>
            </w:r>
          </w:p>
        </w:tc>
        <w:tc>
          <w:tcPr>
            <w:tcW w:w="2399" w:type="dxa"/>
            <w:vAlign w:val="center"/>
          </w:tcPr>
          <w:p>
            <w:pPr>
              <w:rPr>
                <w:rFonts w:ascii="宋体" w:hAnsi="宋体"/>
                <w:color w:val="auto"/>
                <w:szCs w:val="21"/>
                <w:highlight w:val="none"/>
              </w:rPr>
            </w:pPr>
            <w:r>
              <w:rPr>
                <w:rFonts w:hint="eastAsia"/>
                <w:color w:val="auto"/>
                <w:highlight w:val="none"/>
              </w:rPr>
              <w:t>项目负责人</w:t>
            </w:r>
            <w:r>
              <w:rPr>
                <w:color w:val="auto"/>
                <w:highlight w:val="none"/>
              </w:rPr>
              <w:t>每月在施工现场的时间</w:t>
            </w:r>
          </w:p>
        </w:tc>
        <w:tc>
          <w:tcPr>
            <w:tcW w:w="1314" w:type="dxa"/>
            <w:tcMar>
              <w:left w:w="170" w:type="dxa"/>
            </w:tcMar>
            <w:vAlign w:val="center"/>
          </w:tcPr>
          <w:p>
            <w:pPr>
              <w:autoSpaceDE w:val="0"/>
              <w:autoSpaceDN w:val="0"/>
              <w:adjustRightInd w:val="0"/>
              <w:spacing w:before="50"/>
              <w:rPr>
                <w:rFonts w:ascii="宋体" w:hAnsi="宋体"/>
                <w:color w:val="auto"/>
                <w:szCs w:val="21"/>
                <w:highlight w:val="none"/>
              </w:rPr>
            </w:pPr>
            <w:r>
              <w:rPr>
                <w:rFonts w:ascii="宋体" w:hAnsi="宋体"/>
                <w:color w:val="auto"/>
                <w:szCs w:val="21"/>
                <w:highlight w:val="none"/>
              </w:rPr>
              <w:t>3.2.1</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5</w:t>
            </w:r>
          </w:p>
        </w:tc>
        <w:tc>
          <w:tcPr>
            <w:tcW w:w="2399" w:type="dxa"/>
            <w:vAlign w:val="center"/>
          </w:tcPr>
          <w:p>
            <w:pPr>
              <w:rPr>
                <w:color w:val="auto"/>
                <w:highlight w:val="none"/>
              </w:rPr>
            </w:pPr>
            <w:r>
              <w:rPr>
                <w:rFonts w:hint="eastAsia"/>
                <w:color w:val="auto"/>
                <w:highlight w:val="none"/>
              </w:rPr>
              <w:t>项目负责人</w:t>
            </w:r>
            <w:r>
              <w:rPr>
                <w:color w:val="auto"/>
                <w:highlight w:val="none"/>
              </w:rPr>
              <w:t>擅自离开施工现场的违约责任</w:t>
            </w:r>
          </w:p>
        </w:tc>
        <w:tc>
          <w:tcPr>
            <w:tcW w:w="1314" w:type="dxa"/>
            <w:tcMar>
              <w:left w:w="170" w:type="dxa"/>
            </w:tcMar>
            <w:vAlign w:val="center"/>
          </w:tcPr>
          <w:p>
            <w:pPr>
              <w:autoSpaceDE w:val="0"/>
              <w:autoSpaceDN w:val="0"/>
              <w:adjustRightInd w:val="0"/>
              <w:spacing w:before="50"/>
              <w:rPr>
                <w:rFonts w:ascii="宋体" w:hAnsi="宋体"/>
                <w:color w:val="auto"/>
                <w:szCs w:val="21"/>
                <w:highlight w:val="none"/>
              </w:rPr>
            </w:pPr>
            <w:r>
              <w:rPr>
                <w:rFonts w:ascii="宋体" w:hAnsi="宋体"/>
                <w:color w:val="auto"/>
                <w:szCs w:val="21"/>
                <w:highlight w:val="none"/>
              </w:rPr>
              <w:t>3.2.1</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6</w:t>
            </w:r>
          </w:p>
        </w:tc>
        <w:tc>
          <w:tcPr>
            <w:tcW w:w="2399" w:type="dxa"/>
            <w:vAlign w:val="center"/>
          </w:tcPr>
          <w:p>
            <w:pPr>
              <w:rPr>
                <w:color w:val="auto"/>
                <w:highlight w:val="none"/>
              </w:rPr>
            </w:pPr>
            <w:r>
              <w:rPr>
                <w:color w:val="auto"/>
                <w:highlight w:val="none"/>
              </w:rPr>
              <w:t>擅自更换</w:t>
            </w:r>
            <w:r>
              <w:rPr>
                <w:rFonts w:hint="eastAsia"/>
                <w:color w:val="auto"/>
                <w:highlight w:val="none"/>
              </w:rPr>
              <w:t>项目负责人</w:t>
            </w:r>
            <w:r>
              <w:rPr>
                <w:color w:val="auto"/>
                <w:highlight w:val="none"/>
              </w:rPr>
              <w:t>的违约责任</w:t>
            </w:r>
          </w:p>
        </w:tc>
        <w:tc>
          <w:tcPr>
            <w:tcW w:w="1314" w:type="dxa"/>
            <w:tcMar>
              <w:left w:w="170" w:type="dxa"/>
            </w:tcMar>
            <w:vAlign w:val="center"/>
          </w:tcPr>
          <w:p>
            <w:pPr>
              <w:autoSpaceDE w:val="0"/>
              <w:autoSpaceDN w:val="0"/>
              <w:adjustRightInd w:val="0"/>
              <w:spacing w:before="50"/>
              <w:rPr>
                <w:rFonts w:ascii="宋体" w:hAnsi="宋体"/>
                <w:color w:val="auto"/>
                <w:szCs w:val="21"/>
                <w:highlight w:val="none"/>
              </w:rPr>
            </w:pPr>
            <w:r>
              <w:rPr>
                <w:rFonts w:ascii="宋体" w:hAnsi="宋体"/>
                <w:color w:val="auto"/>
                <w:szCs w:val="21"/>
                <w:highlight w:val="none"/>
              </w:rPr>
              <w:t>3.2.3</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7</w:t>
            </w:r>
          </w:p>
        </w:tc>
        <w:tc>
          <w:tcPr>
            <w:tcW w:w="2399" w:type="dxa"/>
            <w:vAlign w:val="center"/>
          </w:tcPr>
          <w:p>
            <w:pPr>
              <w:rPr>
                <w:color w:val="auto"/>
                <w:highlight w:val="none"/>
              </w:rPr>
            </w:pPr>
            <w:r>
              <w:rPr>
                <w:color w:val="auto"/>
                <w:highlight w:val="none"/>
              </w:rPr>
              <w:t>无正当理由拒绝更换</w:t>
            </w:r>
            <w:r>
              <w:rPr>
                <w:rFonts w:hint="eastAsia"/>
                <w:color w:val="auto"/>
                <w:highlight w:val="none"/>
              </w:rPr>
              <w:t>项目负责人</w:t>
            </w:r>
            <w:r>
              <w:rPr>
                <w:color w:val="auto"/>
                <w:highlight w:val="none"/>
              </w:rPr>
              <w:t>的违约责任</w:t>
            </w:r>
          </w:p>
        </w:tc>
        <w:tc>
          <w:tcPr>
            <w:tcW w:w="1314" w:type="dxa"/>
            <w:tcMar>
              <w:left w:w="170" w:type="dxa"/>
            </w:tcMar>
            <w:vAlign w:val="center"/>
          </w:tcPr>
          <w:p>
            <w:pPr>
              <w:autoSpaceDE w:val="0"/>
              <w:autoSpaceDN w:val="0"/>
              <w:adjustRightInd w:val="0"/>
              <w:spacing w:before="50"/>
              <w:rPr>
                <w:rFonts w:ascii="宋体" w:hAnsi="宋体"/>
                <w:color w:val="auto"/>
                <w:szCs w:val="21"/>
                <w:highlight w:val="none"/>
              </w:rPr>
            </w:pPr>
            <w:r>
              <w:rPr>
                <w:rFonts w:ascii="宋体" w:hAnsi="宋体"/>
                <w:color w:val="auto"/>
                <w:szCs w:val="21"/>
                <w:highlight w:val="none"/>
              </w:rPr>
              <w:t>3.2.4</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8</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承包人履约担保金额</w:t>
            </w:r>
          </w:p>
        </w:tc>
        <w:tc>
          <w:tcPr>
            <w:tcW w:w="1314" w:type="dxa"/>
            <w:tcMar>
              <w:left w:w="170" w:type="dxa"/>
            </w:tcMar>
            <w:vAlign w:val="center"/>
          </w:tcPr>
          <w:p>
            <w:pPr>
              <w:rPr>
                <w:rFonts w:ascii="宋体" w:hAnsi="宋体"/>
                <w:color w:val="auto"/>
                <w:szCs w:val="21"/>
                <w:highlight w:val="none"/>
              </w:rPr>
            </w:pPr>
            <w:r>
              <w:rPr>
                <w:rFonts w:hint="eastAsia" w:ascii="宋体" w:hAnsi="宋体"/>
                <w:color w:val="auto"/>
                <w:szCs w:val="21"/>
                <w:highlight w:val="none"/>
              </w:rPr>
              <w:t>3.7</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9</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分包</w:t>
            </w:r>
          </w:p>
        </w:tc>
        <w:tc>
          <w:tcPr>
            <w:tcW w:w="1314" w:type="dxa"/>
            <w:tcMar>
              <w:left w:w="170" w:type="dxa"/>
            </w:tcMar>
            <w:vAlign w:val="center"/>
          </w:tcPr>
          <w:p>
            <w:pPr>
              <w:rPr>
                <w:rFonts w:ascii="宋体" w:hAnsi="宋体"/>
                <w:color w:val="auto"/>
                <w:szCs w:val="21"/>
                <w:highlight w:val="none"/>
              </w:rPr>
            </w:pPr>
            <w:r>
              <w:rPr>
                <w:rFonts w:hint="eastAsia" w:ascii="宋体" w:hAnsi="宋体"/>
                <w:color w:val="auto"/>
                <w:szCs w:val="21"/>
                <w:highlight w:val="none"/>
              </w:rPr>
              <w:t>3.5.2</w:t>
            </w:r>
          </w:p>
        </w:tc>
        <w:tc>
          <w:tcPr>
            <w:tcW w:w="4207" w:type="dxa"/>
            <w:vAlign w:val="center"/>
          </w:tcPr>
          <w:p>
            <w:pPr>
              <w:rPr>
                <w:rFonts w:ascii="宋体" w:hAnsi="宋体"/>
                <w:color w:val="auto"/>
                <w:szCs w:val="21"/>
                <w:highlight w:val="none"/>
              </w:rPr>
            </w:pPr>
            <w:r>
              <w:rPr>
                <w:rFonts w:hint="eastAsia" w:ascii="宋体" w:hAnsi="宋体"/>
                <w:color w:val="auto"/>
                <w:szCs w:val="21"/>
                <w:highlight w:val="none"/>
              </w:rPr>
              <w:t>见</w:t>
            </w:r>
            <w:r>
              <w:rPr>
                <w:rFonts w:hint="eastAsia"/>
                <w:color w:val="auto"/>
                <w:highlight w:val="none"/>
              </w:rPr>
              <w:t>拟分包计划表</w:t>
            </w: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10</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逾期竣工违约金</w:t>
            </w:r>
          </w:p>
        </w:tc>
        <w:tc>
          <w:tcPr>
            <w:tcW w:w="1314" w:type="dxa"/>
            <w:tcMar>
              <w:left w:w="170" w:type="dxa"/>
            </w:tcMar>
            <w:vAlign w:val="center"/>
          </w:tcPr>
          <w:p>
            <w:pPr>
              <w:rPr>
                <w:rFonts w:ascii="宋体" w:hAnsi="宋体"/>
                <w:color w:val="auto"/>
                <w:szCs w:val="21"/>
                <w:highlight w:val="none"/>
              </w:rPr>
            </w:pPr>
            <w:r>
              <w:rPr>
                <w:rFonts w:hint="eastAsia" w:ascii="宋体" w:hAnsi="宋体"/>
                <w:color w:val="auto"/>
                <w:szCs w:val="21"/>
                <w:highlight w:val="none"/>
              </w:rPr>
              <w:t>7.5.2</w:t>
            </w:r>
          </w:p>
        </w:tc>
        <w:tc>
          <w:tcPr>
            <w:tcW w:w="4207" w:type="dxa"/>
            <w:vAlign w:val="center"/>
          </w:tcPr>
          <w:p>
            <w:pPr>
              <w:rPr>
                <w:rFonts w:ascii="宋体" w:hAnsi="宋体"/>
                <w:color w:val="auto"/>
                <w:szCs w:val="21"/>
                <w:highlight w:val="none"/>
              </w:rPr>
            </w:pPr>
            <w:r>
              <w:rPr>
                <w:rFonts w:hint="eastAsia" w:ascii="宋体" w:hAnsi="宋体"/>
                <w:color w:val="auto"/>
                <w:szCs w:val="21"/>
                <w:highlight w:val="none"/>
              </w:rPr>
              <w:t>元/天</w:t>
            </w: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11</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逾期竣工违约金的上限</w:t>
            </w:r>
          </w:p>
        </w:tc>
        <w:tc>
          <w:tcPr>
            <w:tcW w:w="1314" w:type="dxa"/>
            <w:tcMar>
              <w:left w:w="170" w:type="dxa"/>
            </w:tcMar>
            <w:vAlign w:val="center"/>
          </w:tcPr>
          <w:p>
            <w:pPr>
              <w:rPr>
                <w:rFonts w:ascii="宋体" w:hAnsi="宋体"/>
                <w:color w:val="auto"/>
                <w:szCs w:val="21"/>
                <w:highlight w:val="none"/>
              </w:rPr>
            </w:pPr>
            <w:r>
              <w:rPr>
                <w:rFonts w:hint="eastAsia" w:ascii="宋体" w:hAnsi="宋体"/>
                <w:color w:val="auto"/>
                <w:szCs w:val="21"/>
                <w:highlight w:val="none"/>
              </w:rPr>
              <w:t>7.5.2</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20" w:type="dxa"/>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12</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价格调整的差额计算</w:t>
            </w:r>
          </w:p>
        </w:tc>
        <w:tc>
          <w:tcPr>
            <w:tcW w:w="1314" w:type="dxa"/>
            <w:tcMar>
              <w:left w:w="170" w:type="dxa"/>
            </w:tcMar>
            <w:vAlign w:val="center"/>
          </w:tcPr>
          <w:p>
            <w:pPr>
              <w:rPr>
                <w:rFonts w:ascii="宋体" w:hAnsi="宋体"/>
                <w:color w:val="auto"/>
                <w:szCs w:val="21"/>
                <w:highlight w:val="none"/>
              </w:rPr>
            </w:pPr>
            <w:r>
              <w:rPr>
                <w:rFonts w:hint="eastAsia" w:ascii="宋体" w:hAnsi="宋体"/>
                <w:color w:val="auto"/>
                <w:szCs w:val="21"/>
                <w:highlight w:val="none"/>
              </w:rPr>
              <w:t>11.1</w:t>
            </w:r>
          </w:p>
        </w:tc>
        <w:tc>
          <w:tcPr>
            <w:tcW w:w="4207" w:type="dxa"/>
            <w:vAlign w:val="center"/>
          </w:tcPr>
          <w:p>
            <w:pPr>
              <w:rPr>
                <w:rFonts w:ascii="宋体" w:hAnsi="宋体"/>
                <w:color w:val="auto"/>
                <w:szCs w:val="21"/>
                <w:highlight w:val="none"/>
              </w:rPr>
            </w:pPr>
            <w:r>
              <w:rPr>
                <w:color w:val="auto"/>
                <w:highlight w:val="none"/>
              </w:rPr>
              <w:t>采用价格指数</w:t>
            </w:r>
            <w:r>
              <w:rPr>
                <w:rFonts w:hint="eastAsia"/>
                <w:color w:val="auto"/>
                <w:highlight w:val="none"/>
              </w:rPr>
              <w:t>进行价格</w:t>
            </w:r>
            <w:r>
              <w:rPr>
                <w:color w:val="auto"/>
                <w:highlight w:val="none"/>
              </w:rPr>
              <w:t>调整时，</w:t>
            </w:r>
            <w:r>
              <w:rPr>
                <w:rFonts w:hint="eastAsia" w:ascii="宋体" w:hAnsi="宋体"/>
                <w:color w:val="auto"/>
                <w:szCs w:val="21"/>
                <w:highlight w:val="none"/>
              </w:rPr>
              <w:t>见价格指数权重表</w:t>
            </w: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720" w:type="dxa"/>
            <w:vAlign w:val="center"/>
          </w:tcPr>
          <w:p>
            <w:pPr>
              <w:jc w:val="center"/>
              <w:rPr>
                <w:rFonts w:ascii="宋体" w:hAnsi="宋体"/>
                <w:color w:val="auto"/>
                <w:szCs w:val="21"/>
                <w:highlight w:val="none"/>
              </w:rPr>
            </w:pPr>
            <w:r>
              <w:rPr>
                <w:rFonts w:hint="eastAsia" w:ascii="宋体" w:hAnsi="宋体"/>
                <w:color w:val="auto"/>
                <w:szCs w:val="21"/>
                <w:highlight w:val="none"/>
              </w:rPr>
              <w:t>13</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预付款</w:t>
            </w:r>
            <w:r>
              <w:rPr>
                <w:color w:val="auto"/>
                <w:highlight w:val="none"/>
              </w:rPr>
              <w:t>支付比例或金额</w:t>
            </w:r>
          </w:p>
        </w:tc>
        <w:tc>
          <w:tcPr>
            <w:tcW w:w="1314" w:type="dxa"/>
            <w:tcMar>
              <w:left w:w="170" w:type="dxa"/>
            </w:tcMar>
            <w:vAlign w:val="center"/>
          </w:tcPr>
          <w:p>
            <w:pPr>
              <w:rPr>
                <w:rFonts w:ascii="宋体" w:hAnsi="宋体"/>
                <w:color w:val="auto"/>
                <w:szCs w:val="21"/>
                <w:highlight w:val="none"/>
              </w:rPr>
            </w:pPr>
            <w:r>
              <w:rPr>
                <w:rFonts w:hint="eastAsia" w:ascii="宋体" w:hAnsi="宋体"/>
                <w:color w:val="auto"/>
                <w:szCs w:val="21"/>
                <w:highlight w:val="none"/>
              </w:rPr>
              <w:t>12.2.1</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720" w:type="dxa"/>
            <w:vAlign w:val="center"/>
          </w:tcPr>
          <w:p>
            <w:pPr>
              <w:autoSpaceDE w:val="0"/>
              <w:autoSpaceDN w:val="0"/>
              <w:adjustRightInd w:val="0"/>
              <w:spacing w:beforeLines="30"/>
              <w:jc w:val="center"/>
              <w:rPr>
                <w:rFonts w:ascii="宋体" w:hAnsi="宋体" w:cs="Arial"/>
                <w:color w:val="auto"/>
                <w:kern w:val="0"/>
                <w:szCs w:val="21"/>
                <w:highlight w:val="none"/>
              </w:rPr>
            </w:pPr>
            <w:r>
              <w:rPr>
                <w:rFonts w:hint="eastAsia" w:ascii="宋体" w:hAnsi="宋体" w:cs="Arial"/>
                <w:color w:val="auto"/>
                <w:kern w:val="0"/>
                <w:szCs w:val="21"/>
                <w:highlight w:val="none"/>
              </w:rPr>
              <w:t>14</w:t>
            </w:r>
          </w:p>
        </w:tc>
        <w:tc>
          <w:tcPr>
            <w:tcW w:w="2399" w:type="dxa"/>
            <w:vAlign w:val="center"/>
          </w:tcPr>
          <w:p>
            <w:pPr>
              <w:rPr>
                <w:rFonts w:ascii="宋体" w:hAnsi="宋体"/>
                <w:color w:val="auto"/>
                <w:szCs w:val="21"/>
                <w:highlight w:val="none"/>
              </w:rPr>
            </w:pPr>
            <w:r>
              <w:rPr>
                <w:rFonts w:hint="eastAsia" w:ascii="宋体" w:hAnsi="宋体"/>
                <w:color w:val="auto"/>
                <w:szCs w:val="21"/>
                <w:highlight w:val="none"/>
              </w:rPr>
              <w:t>质量保证金额度</w:t>
            </w:r>
          </w:p>
        </w:tc>
        <w:tc>
          <w:tcPr>
            <w:tcW w:w="1314" w:type="dxa"/>
            <w:tcMar>
              <w:left w:w="170" w:type="dxa"/>
            </w:tcMar>
            <w:vAlign w:val="center"/>
          </w:tcPr>
          <w:p>
            <w:pPr>
              <w:rPr>
                <w:rFonts w:ascii="宋体" w:hAnsi="宋体"/>
                <w:color w:val="auto"/>
                <w:szCs w:val="21"/>
                <w:highlight w:val="none"/>
              </w:rPr>
            </w:pPr>
            <w:r>
              <w:rPr>
                <w:rFonts w:hint="eastAsia" w:ascii="宋体" w:hAnsi="宋体"/>
                <w:color w:val="auto"/>
                <w:szCs w:val="21"/>
                <w:highlight w:val="none"/>
              </w:rPr>
              <w:t>15.3.1</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720" w:type="dxa"/>
            <w:vAlign w:val="center"/>
          </w:tcPr>
          <w:p>
            <w:pPr>
              <w:jc w:val="center"/>
              <w:rPr>
                <w:rFonts w:ascii="宋体" w:hAnsi="宋体"/>
                <w:color w:val="auto"/>
                <w:szCs w:val="21"/>
                <w:highlight w:val="none"/>
              </w:rPr>
            </w:pPr>
            <w:r>
              <w:rPr>
                <w:rFonts w:hint="eastAsia" w:ascii="宋体" w:hAnsi="宋体"/>
                <w:color w:val="auto"/>
                <w:szCs w:val="21"/>
                <w:highlight w:val="none"/>
              </w:rPr>
              <w:t>15</w:t>
            </w:r>
          </w:p>
        </w:tc>
        <w:tc>
          <w:tcPr>
            <w:tcW w:w="2399" w:type="dxa"/>
            <w:vAlign w:val="center"/>
          </w:tcPr>
          <w:p>
            <w:pPr>
              <w:rPr>
                <w:rFonts w:ascii="宋体" w:hAnsi="宋体"/>
                <w:color w:val="auto"/>
                <w:szCs w:val="21"/>
                <w:highlight w:val="none"/>
              </w:rPr>
            </w:pPr>
            <w:r>
              <w:rPr>
                <w:color w:val="auto"/>
                <w:highlight w:val="none"/>
              </w:rPr>
              <w:t>质量保证金</w:t>
            </w:r>
            <w:r>
              <w:rPr>
                <w:rFonts w:hint="eastAsia"/>
                <w:color w:val="auto"/>
                <w:highlight w:val="none"/>
              </w:rPr>
              <w:t>的</w:t>
            </w:r>
            <w:r>
              <w:rPr>
                <w:color w:val="auto"/>
                <w:highlight w:val="none"/>
              </w:rPr>
              <w:t>扣留</w:t>
            </w:r>
            <w:r>
              <w:rPr>
                <w:rFonts w:hint="eastAsia"/>
                <w:color w:val="auto"/>
                <w:highlight w:val="none"/>
              </w:rPr>
              <w:t>方式</w:t>
            </w:r>
          </w:p>
        </w:tc>
        <w:tc>
          <w:tcPr>
            <w:tcW w:w="1314" w:type="dxa"/>
            <w:tcMar>
              <w:left w:w="170" w:type="dxa"/>
            </w:tcMar>
            <w:vAlign w:val="center"/>
          </w:tcPr>
          <w:p>
            <w:pPr>
              <w:rPr>
                <w:rFonts w:ascii="宋体" w:hAnsi="宋体"/>
                <w:color w:val="auto"/>
                <w:szCs w:val="21"/>
                <w:highlight w:val="none"/>
              </w:rPr>
            </w:pPr>
            <w:r>
              <w:rPr>
                <w:rFonts w:ascii="宋体" w:hAnsi="宋体"/>
                <w:color w:val="auto"/>
                <w:szCs w:val="21"/>
                <w:highlight w:val="none"/>
              </w:rPr>
              <w:t>15.3.2</w:t>
            </w:r>
          </w:p>
        </w:tc>
        <w:tc>
          <w:tcPr>
            <w:tcW w:w="4207" w:type="dxa"/>
            <w:vAlign w:val="center"/>
          </w:tcPr>
          <w:p>
            <w:pPr>
              <w:rPr>
                <w:rFonts w:ascii="宋体" w:hAnsi="宋体"/>
                <w:color w:val="auto"/>
                <w:szCs w:val="21"/>
                <w:highlight w:val="none"/>
              </w:rPr>
            </w:pP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720" w:type="dxa"/>
            <w:vAlign w:val="center"/>
          </w:tcPr>
          <w:p>
            <w:pPr>
              <w:autoSpaceDE w:val="0"/>
              <w:autoSpaceDN w:val="0"/>
              <w:adjustRightInd w:val="0"/>
              <w:spacing w:beforeLines="30"/>
              <w:jc w:val="center"/>
              <w:rPr>
                <w:rFonts w:ascii="宋体" w:hAnsi="宋体" w:cs="Arial"/>
                <w:color w:val="auto"/>
                <w:kern w:val="0"/>
                <w:szCs w:val="21"/>
                <w:highlight w:val="none"/>
              </w:rPr>
            </w:pPr>
            <w:r>
              <w:rPr>
                <w:rFonts w:hint="eastAsia" w:ascii="宋体" w:hAnsi="宋体" w:cs="Arial"/>
                <w:color w:val="auto"/>
                <w:kern w:val="0"/>
                <w:szCs w:val="21"/>
                <w:highlight w:val="none"/>
              </w:rPr>
              <w:t>16</w:t>
            </w:r>
          </w:p>
        </w:tc>
        <w:tc>
          <w:tcPr>
            <w:tcW w:w="2399" w:type="dxa"/>
            <w:vAlign w:val="center"/>
          </w:tcPr>
          <w:p>
            <w:pPr>
              <w:autoSpaceDE w:val="0"/>
              <w:autoSpaceDN w:val="0"/>
              <w:adjustRightInd w:val="0"/>
              <w:spacing w:beforeLines="30"/>
              <w:rPr>
                <w:rFonts w:ascii="宋体" w:hAnsi="宋体" w:cs="Arial"/>
                <w:color w:val="auto"/>
                <w:kern w:val="0"/>
                <w:szCs w:val="21"/>
                <w:highlight w:val="none"/>
              </w:rPr>
            </w:pPr>
            <w:r>
              <w:rPr>
                <w:rFonts w:hint="eastAsia" w:ascii="宋体" w:hAnsi="宋体" w:cs="Arial"/>
                <w:color w:val="auto"/>
                <w:kern w:val="0"/>
                <w:szCs w:val="21"/>
                <w:highlight w:val="none"/>
              </w:rPr>
              <w:t>技术标准和要求</w:t>
            </w:r>
          </w:p>
        </w:tc>
        <w:tc>
          <w:tcPr>
            <w:tcW w:w="1314" w:type="dxa"/>
            <w:tcMar>
              <w:left w:w="170" w:type="dxa"/>
            </w:tcMar>
            <w:vAlign w:val="center"/>
          </w:tcPr>
          <w:p>
            <w:pPr>
              <w:autoSpaceDE w:val="0"/>
              <w:autoSpaceDN w:val="0"/>
              <w:adjustRightInd w:val="0"/>
              <w:spacing w:beforeLines="30"/>
              <w:rPr>
                <w:rFonts w:ascii="宋体" w:hAnsi="宋体" w:cs="Arial"/>
                <w:bCs/>
                <w:color w:val="auto"/>
                <w:kern w:val="0"/>
                <w:szCs w:val="21"/>
                <w:highlight w:val="none"/>
              </w:rPr>
            </w:pPr>
          </w:p>
        </w:tc>
        <w:tc>
          <w:tcPr>
            <w:tcW w:w="4207" w:type="dxa"/>
            <w:vAlign w:val="center"/>
          </w:tcPr>
          <w:p>
            <w:pPr>
              <w:autoSpaceDE w:val="0"/>
              <w:autoSpaceDN w:val="0"/>
              <w:adjustRightInd w:val="0"/>
              <w:spacing w:beforeLines="30"/>
              <w:rPr>
                <w:rFonts w:ascii="宋体" w:hAnsi="宋体" w:cs="Arial"/>
                <w:color w:val="auto"/>
                <w:kern w:val="0"/>
                <w:szCs w:val="21"/>
                <w:highlight w:val="none"/>
              </w:rPr>
            </w:pPr>
            <w:r>
              <w:rPr>
                <w:rFonts w:hint="eastAsia" w:ascii="宋体" w:hAnsi="宋体"/>
                <w:color w:val="auto"/>
                <w:szCs w:val="21"/>
                <w:highlight w:val="none"/>
              </w:rPr>
              <w:t>符合第七章“技术标准和要求”规定</w:t>
            </w:r>
          </w:p>
        </w:tc>
        <w:tc>
          <w:tcPr>
            <w:tcW w:w="72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trPr>
        <w:tc>
          <w:tcPr>
            <w:tcW w:w="9360" w:type="dxa"/>
            <w:gridSpan w:val="5"/>
            <w:vAlign w:val="center"/>
          </w:tcPr>
          <w:p>
            <w:pPr>
              <w:rPr>
                <w:rFonts w:ascii="宋体" w:hAnsi="宋体"/>
                <w:color w:val="auto"/>
                <w:szCs w:val="21"/>
                <w:highlight w:val="none"/>
              </w:rPr>
            </w:pPr>
            <w:r>
              <w:rPr>
                <w:rFonts w:hint="eastAsia" w:ascii="黑体" w:hAnsi="宋体" w:eastAsia="黑体"/>
                <w:color w:val="auto"/>
                <w:szCs w:val="21"/>
                <w:highlight w:val="none"/>
              </w:rPr>
              <w:t>备注：</w:t>
            </w:r>
            <w:r>
              <w:rPr>
                <w:rFonts w:hint="eastAsia" w:ascii="宋体" w:hAnsi="宋体"/>
                <w:color w:val="auto"/>
                <w:szCs w:val="21"/>
                <w:highlight w:val="none"/>
              </w:rPr>
              <w:t>投标人在响应招标文件中规定的实质性要求和条件的基础上，可做出其他有利于招标人的承诺。此类承诺可在本表中予以补充填写。</w:t>
            </w:r>
          </w:p>
        </w:tc>
      </w:tr>
    </w:tbl>
    <w:p>
      <w:pPr>
        <w:rPr>
          <w:rFonts w:eastAsia="黑体"/>
          <w:color w:val="auto"/>
          <w:sz w:val="30"/>
          <w:szCs w:val="30"/>
          <w:highlight w:val="none"/>
          <w:u w:val="single"/>
        </w:rPr>
      </w:pPr>
    </w:p>
    <w:p>
      <w:pPr>
        <w:spacing w:line="360" w:lineRule="auto"/>
        <w:rPr>
          <w:color w:val="auto"/>
          <w:highlight w:val="none"/>
        </w:rPr>
      </w:pPr>
    </w:p>
    <w:p>
      <w:pPr>
        <w:spacing w:line="440" w:lineRule="exact"/>
        <w:ind w:firstLine="3675" w:firstLineChars="1750"/>
        <w:rPr>
          <w:color w:val="auto"/>
          <w:szCs w:val="21"/>
          <w:highlight w:val="none"/>
        </w:rPr>
      </w:pPr>
      <w:r>
        <w:rPr>
          <w:color w:val="auto"/>
          <w:szCs w:val="21"/>
          <w:highlight w:val="none"/>
        </w:rPr>
        <w:t>投 标 人：（盖单位章）</w:t>
      </w:r>
    </w:p>
    <w:p>
      <w:pPr>
        <w:spacing w:line="440" w:lineRule="exact"/>
        <w:ind w:firstLine="3675" w:firstLineChars="1750"/>
        <w:rPr>
          <w:color w:val="auto"/>
          <w:szCs w:val="21"/>
          <w:highlight w:val="none"/>
        </w:rPr>
      </w:pPr>
      <w:r>
        <w:rPr>
          <w:color w:val="auto"/>
          <w:szCs w:val="21"/>
          <w:highlight w:val="none"/>
        </w:rPr>
        <w:t>法定代表人：（签字）</w:t>
      </w:r>
    </w:p>
    <w:p>
      <w:pPr>
        <w:spacing w:line="440" w:lineRule="exact"/>
        <w:ind w:firstLine="5040" w:firstLineChars="2400"/>
        <w:rPr>
          <w:color w:val="auto"/>
          <w:szCs w:val="21"/>
          <w:highlight w:val="none"/>
        </w:rPr>
      </w:pP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日</w:t>
      </w:r>
    </w:p>
    <w:p>
      <w:pPr>
        <w:spacing w:afterLines="50" w:line="480" w:lineRule="exact"/>
        <w:jc w:val="center"/>
        <w:rPr>
          <w:rFonts w:ascii="黑体" w:hAnsi="宋体" w:eastAsia="黑体"/>
          <w:color w:val="auto"/>
          <w:sz w:val="24"/>
          <w:highlight w:val="none"/>
        </w:rPr>
      </w:pPr>
    </w:p>
    <w:p>
      <w:pPr>
        <w:spacing w:afterLines="50" w:line="480" w:lineRule="exact"/>
        <w:jc w:val="center"/>
        <w:rPr>
          <w:rFonts w:ascii="黑体" w:hAnsi="宋体" w:eastAsia="黑体"/>
          <w:color w:val="auto"/>
          <w:sz w:val="24"/>
          <w:highlight w:val="none"/>
        </w:rPr>
      </w:pPr>
    </w:p>
    <w:p>
      <w:pPr>
        <w:spacing w:afterLines="50" w:line="480" w:lineRule="exact"/>
        <w:jc w:val="center"/>
        <w:rPr>
          <w:rFonts w:ascii="黑体" w:hAnsi="宋体" w:eastAsia="黑体"/>
          <w:color w:val="auto"/>
          <w:sz w:val="24"/>
          <w:highlight w:val="none"/>
        </w:rPr>
      </w:pPr>
      <w:r>
        <w:rPr>
          <w:rFonts w:hint="eastAsia" w:ascii="黑体" w:hAnsi="宋体" w:eastAsia="黑体"/>
          <w:color w:val="auto"/>
          <w:sz w:val="24"/>
          <w:highlight w:val="none"/>
        </w:rPr>
        <w:t>价格指数权重表</w:t>
      </w:r>
    </w:p>
    <w:tbl>
      <w:tblPr>
        <w:tblStyle w:val="28"/>
        <w:tblW w:w="847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89"/>
        <w:gridCol w:w="707"/>
        <w:gridCol w:w="989"/>
        <w:gridCol w:w="707"/>
        <w:gridCol w:w="1271"/>
        <w:gridCol w:w="1695"/>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1415" w:type="dxa"/>
            <w:gridSpan w:val="2"/>
            <w:vMerge w:val="restart"/>
            <w:vAlign w:val="center"/>
          </w:tcPr>
          <w:p>
            <w:pPr>
              <w:jc w:val="center"/>
              <w:rPr>
                <w:rFonts w:ascii="宋体" w:hAnsi="宋体"/>
                <w:color w:val="auto"/>
                <w:szCs w:val="21"/>
                <w:highlight w:val="none"/>
              </w:rPr>
            </w:pPr>
            <w:r>
              <w:rPr>
                <w:rFonts w:hint="eastAsia" w:ascii="宋体" w:hAnsi="宋体"/>
                <w:color w:val="auto"/>
                <w:szCs w:val="21"/>
                <w:highlight w:val="none"/>
              </w:rPr>
              <w:t>名 称</w:t>
            </w:r>
          </w:p>
        </w:tc>
        <w:tc>
          <w:tcPr>
            <w:tcW w:w="1696"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基本价格指数</w:t>
            </w:r>
          </w:p>
        </w:tc>
        <w:tc>
          <w:tcPr>
            <w:tcW w:w="3673" w:type="dxa"/>
            <w:gridSpan w:val="3"/>
            <w:vAlign w:val="center"/>
          </w:tcPr>
          <w:p>
            <w:pPr>
              <w:jc w:val="center"/>
              <w:rPr>
                <w:rFonts w:ascii="宋体" w:hAnsi="宋体"/>
                <w:color w:val="auto"/>
                <w:szCs w:val="21"/>
                <w:highlight w:val="none"/>
              </w:rPr>
            </w:pPr>
            <w:r>
              <w:rPr>
                <w:rFonts w:hint="eastAsia" w:ascii="宋体" w:hAnsi="宋体"/>
                <w:color w:val="auto"/>
                <w:szCs w:val="21"/>
                <w:highlight w:val="none"/>
              </w:rPr>
              <w:t>权     重</w:t>
            </w:r>
          </w:p>
        </w:tc>
        <w:tc>
          <w:tcPr>
            <w:tcW w:w="1695" w:type="dxa"/>
            <w:vMerge w:val="restart"/>
            <w:vAlign w:val="center"/>
          </w:tcPr>
          <w:p>
            <w:pPr>
              <w:jc w:val="center"/>
              <w:rPr>
                <w:rFonts w:ascii="宋体" w:hAnsi="宋体"/>
                <w:color w:val="auto"/>
                <w:szCs w:val="21"/>
                <w:highlight w:val="none"/>
              </w:rPr>
            </w:pPr>
            <w:r>
              <w:rPr>
                <w:rFonts w:hint="eastAsia" w:ascii="宋体" w:hAnsi="宋体"/>
                <w:color w:val="auto"/>
                <w:szCs w:val="21"/>
                <w:highlight w:val="none"/>
              </w:rPr>
              <w:t>价格指数来源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trPr>
        <w:tc>
          <w:tcPr>
            <w:tcW w:w="1415" w:type="dxa"/>
            <w:gridSpan w:val="2"/>
            <w:vMerge w:val="continue"/>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代号</w:t>
            </w:r>
          </w:p>
        </w:tc>
        <w:tc>
          <w:tcPr>
            <w:tcW w:w="989" w:type="dxa"/>
            <w:vAlign w:val="center"/>
          </w:tcPr>
          <w:p>
            <w:pPr>
              <w:jc w:val="center"/>
              <w:rPr>
                <w:rFonts w:ascii="宋体" w:hAnsi="宋体"/>
                <w:color w:val="auto"/>
                <w:szCs w:val="21"/>
                <w:highlight w:val="none"/>
              </w:rPr>
            </w:pPr>
            <w:r>
              <w:rPr>
                <w:rFonts w:hint="eastAsia" w:ascii="宋体" w:hAnsi="宋体"/>
                <w:color w:val="auto"/>
                <w:szCs w:val="21"/>
                <w:highlight w:val="none"/>
              </w:rPr>
              <w:t>指数值</w:t>
            </w: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代号</w:t>
            </w:r>
          </w:p>
        </w:tc>
        <w:tc>
          <w:tcPr>
            <w:tcW w:w="1271" w:type="dxa"/>
            <w:vAlign w:val="center"/>
          </w:tcPr>
          <w:p>
            <w:pPr>
              <w:jc w:val="center"/>
              <w:rPr>
                <w:rFonts w:ascii="宋体" w:hAnsi="宋体"/>
                <w:color w:val="auto"/>
                <w:szCs w:val="21"/>
                <w:highlight w:val="none"/>
              </w:rPr>
            </w:pPr>
            <w:r>
              <w:rPr>
                <w:rFonts w:hint="eastAsia" w:ascii="宋体" w:hAnsi="宋体"/>
                <w:color w:val="auto"/>
                <w:szCs w:val="21"/>
                <w:highlight w:val="none"/>
              </w:rPr>
              <w:t>允许范围</w:t>
            </w:r>
          </w:p>
        </w:tc>
        <w:tc>
          <w:tcPr>
            <w:tcW w:w="1695" w:type="dxa"/>
            <w:vAlign w:val="center"/>
          </w:tcPr>
          <w:p>
            <w:pPr>
              <w:jc w:val="center"/>
              <w:rPr>
                <w:rFonts w:ascii="宋体" w:hAnsi="宋体"/>
                <w:color w:val="auto"/>
                <w:szCs w:val="21"/>
                <w:highlight w:val="none"/>
              </w:rPr>
            </w:pPr>
            <w:r>
              <w:rPr>
                <w:rFonts w:hint="eastAsia" w:ascii="宋体" w:hAnsi="宋体"/>
                <w:color w:val="auto"/>
                <w:szCs w:val="21"/>
                <w:highlight w:val="none"/>
              </w:rPr>
              <w:t>投标人建议值</w:t>
            </w:r>
          </w:p>
        </w:tc>
        <w:tc>
          <w:tcPr>
            <w:tcW w:w="1695" w:type="dxa"/>
            <w:vMerge w:val="continue"/>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415"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定值部分</w:t>
            </w:r>
          </w:p>
        </w:tc>
        <w:tc>
          <w:tcPr>
            <w:tcW w:w="707" w:type="dxa"/>
            <w:vAlign w:val="center"/>
          </w:tcPr>
          <w:p>
            <w:pPr>
              <w:jc w:val="center"/>
              <w:rPr>
                <w:rFonts w:ascii="宋体" w:hAnsi="宋体"/>
                <w:color w:val="auto"/>
                <w:szCs w:val="21"/>
                <w:highlight w:val="none"/>
              </w:rPr>
            </w:pP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A</w:t>
            </w:r>
          </w:p>
        </w:tc>
        <w:tc>
          <w:tcPr>
            <w:tcW w:w="1271"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426" w:type="dxa"/>
            <w:vMerge w:val="restart"/>
            <w:vAlign w:val="center"/>
          </w:tcPr>
          <w:p>
            <w:pPr>
              <w:jc w:val="center"/>
              <w:rPr>
                <w:rFonts w:ascii="宋体" w:hAnsi="宋体"/>
                <w:color w:val="auto"/>
                <w:szCs w:val="21"/>
                <w:highlight w:val="none"/>
              </w:rPr>
            </w:pPr>
            <w:r>
              <w:rPr>
                <w:rFonts w:hint="eastAsia" w:ascii="宋体" w:hAnsi="宋体"/>
                <w:color w:val="auto"/>
                <w:szCs w:val="21"/>
                <w:highlight w:val="none"/>
              </w:rPr>
              <w:t>变</w:t>
            </w:r>
          </w:p>
          <w:p>
            <w:pPr>
              <w:jc w:val="center"/>
              <w:rPr>
                <w:rFonts w:ascii="宋体" w:hAnsi="宋体"/>
                <w:color w:val="auto"/>
                <w:szCs w:val="21"/>
                <w:highlight w:val="none"/>
              </w:rPr>
            </w:pPr>
            <w:r>
              <w:rPr>
                <w:rFonts w:hint="eastAsia" w:ascii="宋体" w:hAnsi="宋体"/>
                <w:color w:val="auto"/>
                <w:szCs w:val="21"/>
                <w:highlight w:val="none"/>
              </w:rPr>
              <w:t>值</w:t>
            </w:r>
          </w:p>
          <w:p>
            <w:pPr>
              <w:jc w:val="center"/>
              <w:rPr>
                <w:rFonts w:ascii="宋体" w:hAnsi="宋体"/>
                <w:color w:val="auto"/>
                <w:szCs w:val="21"/>
                <w:highlight w:val="none"/>
              </w:rPr>
            </w:pPr>
            <w:r>
              <w:rPr>
                <w:rFonts w:hint="eastAsia" w:ascii="宋体" w:hAnsi="宋体"/>
                <w:color w:val="auto"/>
                <w:szCs w:val="21"/>
                <w:highlight w:val="none"/>
              </w:rPr>
              <w:t>部</w:t>
            </w:r>
          </w:p>
          <w:p>
            <w:pPr>
              <w:jc w:val="center"/>
              <w:rPr>
                <w:rFonts w:ascii="宋体" w:hAnsi="宋体"/>
                <w:color w:val="auto"/>
                <w:szCs w:val="21"/>
                <w:highlight w:val="none"/>
              </w:rPr>
            </w:pPr>
            <w:r>
              <w:rPr>
                <w:rFonts w:hint="eastAsia" w:ascii="宋体" w:hAnsi="宋体"/>
                <w:color w:val="auto"/>
                <w:szCs w:val="21"/>
                <w:highlight w:val="none"/>
              </w:rPr>
              <w:t>分</w:t>
            </w:r>
          </w:p>
        </w:tc>
        <w:tc>
          <w:tcPr>
            <w:tcW w:w="989" w:type="dxa"/>
            <w:vAlign w:val="center"/>
          </w:tcPr>
          <w:p>
            <w:pPr>
              <w:jc w:val="center"/>
              <w:rPr>
                <w:rFonts w:ascii="宋体" w:hAnsi="宋体"/>
                <w:color w:val="auto"/>
                <w:szCs w:val="21"/>
                <w:highlight w:val="none"/>
              </w:rPr>
            </w:pPr>
            <w:r>
              <w:rPr>
                <w:rFonts w:hint="eastAsia" w:ascii="宋体" w:hAnsi="宋体"/>
                <w:color w:val="auto"/>
                <w:szCs w:val="21"/>
                <w:highlight w:val="none"/>
              </w:rPr>
              <w:t>人工费</w:t>
            </w: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F</w:t>
            </w:r>
            <w:r>
              <w:rPr>
                <w:rFonts w:hint="eastAsia" w:ascii="宋体" w:hAnsi="宋体"/>
                <w:color w:val="auto"/>
                <w:szCs w:val="21"/>
                <w:highlight w:val="none"/>
                <w:vertAlign w:val="subscript"/>
              </w:rPr>
              <w:t>01</w:t>
            </w: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B</w:t>
            </w:r>
            <w:r>
              <w:rPr>
                <w:rFonts w:hint="eastAsia" w:ascii="宋体" w:hAnsi="宋体"/>
                <w:color w:val="auto"/>
                <w:szCs w:val="21"/>
                <w:highlight w:val="none"/>
                <w:vertAlign w:val="subscript"/>
              </w:rPr>
              <w:t>1</w:t>
            </w:r>
          </w:p>
        </w:tc>
        <w:tc>
          <w:tcPr>
            <w:tcW w:w="1271" w:type="dxa"/>
            <w:vAlign w:val="center"/>
          </w:tcPr>
          <w:p>
            <w:pPr>
              <w:ind w:firstLine="105" w:firstLineChars="50"/>
              <w:rPr>
                <w:rFonts w:ascii="宋体" w:hAnsi="宋体"/>
                <w:color w:val="auto"/>
                <w:szCs w:val="21"/>
                <w:highlight w:val="none"/>
              </w:rPr>
            </w:pPr>
            <w:r>
              <w:rPr>
                <w:rFonts w:hint="eastAsia" w:ascii="宋体" w:hAnsi="宋体"/>
                <w:color w:val="auto"/>
                <w:szCs w:val="21"/>
                <w:highlight w:val="none"/>
              </w:rPr>
              <w:t>至</w:t>
            </w:r>
          </w:p>
        </w:tc>
        <w:tc>
          <w:tcPr>
            <w:tcW w:w="1695"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426" w:type="dxa"/>
            <w:vMerge w:val="continue"/>
            <w:vAlign w:val="center"/>
          </w:tcPr>
          <w:p>
            <w:pPr>
              <w:jc w:val="center"/>
              <w:rPr>
                <w:rFonts w:ascii="宋体" w:hAnsi="宋体"/>
                <w:color w:val="auto"/>
                <w:szCs w:val="21"/>
                <w:highlight w:val="none"/>
              </w:rPr>
            </w:pPr>
          </w:p>
        </w:tc>
        <w:tc>
          <w:tcPr>
            <w:tcW w:w="989" w:type="dxa"/>
            <w:vAlign w:val="center"/>
          </w:tcPr>
          <w:p>
            <w:pPr>
              <w:jc w:val="center"/>
              <w:rPr>
                <w:rFonts w:ascii="宋体" w:hAnsi="宋体"/>
                <w:color w:val="auto"/>
                <w:szCs w:val="21"/>
                <w:highlight w:val="none"/>
              </w:rPr>
            </w:pPr>
            <w:r>
              <w:rPr>
                <w:rFonts w:hint="eastAsia" w:ascii="宋体" w:hAnsi="宋体"/>
                <w:color w:val="auto"/>
                <w:szCs w:val="21"/>
                <w:highlight w:val="none"/>
              </w:rPr>
              <w:t>钢材</w:t>
            </w: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F</w:t>
            </w:r>
            <w:r>
              <w:rPr>
                <w:rFonts w:hint="eastAsia" w:ascii="宋体" w:hAnsi="宋体"/>
                <w:color w:val="auto"/>
                <w:szCs w:val="21"/>
                <w:highlight w:val="none"/>
                <w:vertAlign w:val="subscript"/>
              </w:rPr>
              <w:t>02</w:t>
            </w: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B</w:t>
            </w:r>
            <w:r>
              <w:rPr>
                <w:rFonts w:hint="eastAsia" w:ascii="宋体" w:hAnsi="宋体"/>
                <w:color w:val="auto"/>
                <w:szCs w:val="21"/>
                <w:highlight w:val="none"/>
                <w:vertAlign w:val="subscript"/>
              </w:rPr>
              <w:t>2</w:t>
            </w:r>
          </w:p>
        </w:tc>
        <w:tc>
          <w:tcPr>
            <w:tcW w:w="1271" w:type="dxa"/>
            <w:vAlign w:val="center"/>
          </w:tcPr>
          <w:p>
            <w:pPr>
              <w:ind w:firstLine="105" w:firstLineChars="50"/>
              <w:rPr>
                <w:rFonts w:ascii="宋体" w:hAnsi="宋体"/>
                <w:color w:val="auto"/>
                <w:szCs w:val="21"/>
                <w:highlight w:val="none"/>
              </w:rPr>
            </w:pPr>
            <w:r>
              <w:rPr>
                <w:rFonts w:hint="eastAsia" w:ascii="宋体" w:hAnsi="宋体"/>
                <w:color w:val="auto"/>
                <w:szCs w:val="21"/>
                <w:highlight w:val="none"/>
              </w:rPr>
              <w:t>至</w:t>
            </w:r>
          </w:p>
        </w:tc>
        <w:tc>
          <w:tcPr>
            <w:tcW w:w="1695"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426" w:type="dxa"/>
            <w:vMerge w:val="continue"/>
            <w:vAlign w:val="center"/>
          </w:tcPr>
          <w:p>
            <w:pPr>
              <w:jc w:val="center"/>
              <w:rPr>
                <w:rFonts w:ascii="宋体" w:hAnsi="宋体"/>
                <w:color w:val="auto"/>
                <w:szCs w:val="21"/>
                <w:highlight w:val="none"/>
              </w:rPr>
            </w:pPr>
          </w:p>
        </w:tc>
        <w:tc>
          <w:tcPr>
            <w:tcW w:w="989" w:type="dxa"/>
            <w:vAlign w:val="center"/>
          </w:tcPr>
          <w:p>
            <w:pPr>
              <w:jc w:val="center"/>
              <w:rPr>
                <w:rFonts w:ascii="宋体" w:hAnsi="宋体"/>
                <w:color w:val="auto"/>
                <w:szCs w:val="21"/>
                <w:highlight w:val="none"/>
              </w:rPr>
            </w:pPr>
            <w:r>
              <w:rPr>
                <w:rFonts w:hint="eastAsia" w:ascii="宋体" w:hAnsi="宋体"/>
                <w:color w:val="auto"/>
                <w:szCs w:val="21"/>
                <w:highlight w:val="none"/>
              </w:rPr>
              <w:t>水泥</w:t>
            </w: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F</w:t>
            </w:r>
            <w:r>
              <w:rPr>
                <w:rFonts w:hint="eastAsia" w:ascii="宋体" w:hAnsi="宋体"/>
                <w:color w:val="auto"/>
                <w:szCs w:val="21"/>
                <w:highlight w:val="none"/>
                <w:vertAlign w:val="subscript"/>
              </w:rPr>
              <w:t>03</w:t>
            </w: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B</w:t>
            </w:r>
            <w:r>
              <w:rPr>
                <w:rFonts w:hint="eastAsia" w:ascii="宋体" w:hAnsi="宋体"/>
                <w:color w:val="auto"/>
                <w:szCs w:val="21"/>
                <w:highlight w:val="none"/>
                <w:vertAlign w:val="subscript"/>
              </w:rPr>
              <w:t>3</w:t>
            </w:r>
          </w:p>
        </w:tc>
        <w:tc>
          <w:tcPr>
            <w:tcW w:w="1271" w:type="dxa"/>
            <w:vAlign w:val="center"/>
          </w:tcPr>
          <w:p>
            <w:pPr>
              <w:ind w:firstLine="105" w:firstLineChars="50"/>
              <w:rPr>
                <w:rFonts w:ascii="宋体" w:hAnsi="宋体"/>
                <w:color w:val="auto"/>
                <w:szCs w:val="21"/>
                <w:highlight w:val="none"/>
              </w:rPr>
            </w:pPr>
            <w:r>
              <w:rPr>
                <w:rFonts w:hint="eastAsia" w:ascii="宋体" w:hAnsi="宋体"/>
                <w:color w:val="auto"/>
                <w:szCs w:val="21"/>
                <w:highlight w:val="none"/>
              </w:rPr>
              <w:t>至</w:t>
            </w:r>
          </w:p>
        </w:tc>
        <w:tc>
          <w:tcPr>
            <w:tcW w:w="1695"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426" w:type="dxa"/>
            <w:vMerge w:val="continue"/>
            <w:vAlign w:val="center"/>
          </w:tcPr>
          <w:p>
            <w:pPr>
              <w:jc w:val="center"/>
              <w:rPr>
                <w:rFonts w:ascii="宋体" w:hAnsi="宋体"/>
                <w:color w:val="auto"/>
                <w:szCs w:val="21"/>
                <w:highlight w:val="none"/>
              </w:rPr>
            </w:pPr>
          </w:p>
        </w:tc>
        <w:tc>
          <w:tcPr>
            <w:tcW w:w="989"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c>
          <w:tcPr>
            <w:tcW w:w="1271"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c>
          <w:tcPr>
            <w:tcW w:w="1695"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426" w:type="dxa"/>
            <w:vMerge w:val="continue"/>
            <w:vAlign w:val="center"/>
          </w:tcPr>
          <w:p>
            <w:pPr>
              <w:jc w:val="center"/>
              <w:rPr>
                <w:rFonts w:ascii="宋体" w:hAnsi="宋体"/>
                <w:color w:val="auto"/>
                <w:szCs w:val="21"/>
                <w:highlight w:val="none"/>
              </w:rPr>
            </w:pP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p>
        </w:tc>
        <w:tc>
          <w:tcPr>
            <w:tcW w:w="1271"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426" w:type="dxa"/>
            <w:vMerge w:val="continue"/>
            <w:vAlign w:val="center"/>
          </w:tcPr>
          <w:p>
            <w:pPr>
              <w:jc w:val="center"/>
              <w:rPr>
                <w:rFonts w:ascii="宋体" w:hAnsi="宋体"/>
                <w:color w:val="auto"/>
                <w:szCs w:val="21"/>
                <w:highlight w:val="none"/>
              </w:rPr>
            </w:pP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p>
        </w:tc>
        <w:tc>
          <w:tcPr>
            <w:tcW w:w="989" w:type="dxa"/>
            <w:vAlign w:val="center"/>
          </w:tcPr>
          <w:p>
            <w:pPr>
              <w:jc w:val="center"/>
              <w:rPr>
                <w:rFonts w:ascii="宋体" w:hAnsi="宋体"/>
                <w:color w:val="auto"/>
                <w:szCs w:val="21"/>
                <w:highlight w:val="none"/>
              </w:rPr>
            </w:pPr>
          </w:p>
        </w:tc>
        <w:tc>
          <w:tcPr>
            <w:tcW w:w="707" w:type="dxa"/>
            <w:vAlign w:val="center"/>
          </w:tcPr>
          <w:p>
            <w:pPr>
              <w:jc w:val="center"/>
              <w:rPr>
                <w:rFonts w:ascii="宋体" w:hAnsi="宋体"/>
                <w:color w:val="auto"/>
                <w:szCs w:val="21"/>
                <w:highlight w:val="none"/>
              </w:rPr>
            </w:pPr>
          </w:p>
        </w:tc>
        <w:tc>
          <w:tcPr>
            <w:tcW w:w="1271"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c>
          <w:tcPr>
            <w:tcW w:w="1695"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5089" w:type="dxa"/>
            <w:gridSpan w:val="6"/>
            <w:vAlign w:val="center"/>
          </w:tcPr>
          <w:p>
            <w:pPr>
              <w:jc w:val="center"/>
              <w:rPr>
                <w:rFonts w:ascii="宋体" w:hAnsi="宋体"/>
                <w:color w:val="auto"/>
                <w:szCs w:val="21"/>
                <w:highlight w:val="none"/>
              </w:rPr>
            </w:pPr>
            <w:r>
              <w:rPr>
                <w:rFonts w:hint="eastAsia" w:ascii="宋体" w:hAnsi="宋体"/>
                <w:color w:val="auto"/>
                <w:szCs w:val="21"/>
                <w:highlight w:val="none"/>
              </w:rPr>
              <w:t>合             计</w:t>
            </w:r>
          </w:p>
        </w:tc>
        <w:tc>
          <w:tcPr>
            <w:tcW w:w="1695" w:type="dxa"/>
            <w:vAlign w:val="center"/>
          </w:tcPr>
          <w:p>
            <w:pPr>
              <w:jc w:val="center"/>
              <w:rPr>
                <w:rFonts w:ascii="宋体" w:hAnsi="宋体"/>
                <w:color w:val="auto"/>
                <w:szCs w:val="21"/>
                <w:highlight w:val="none"/>
              </w:rPr>
            </w:pPr>
            <w:r>
              <w:rPr>
                <w:rFonts w:hint="eastAsia" w:ascii="宋体" w:hAnsi="宋体"/>
                <w:color w:val="auto"/>
                <w:szCs w:val="21"/>
                <w:highlight w:val="none"/>
              </w:rPr>
              <w:t>1.00</w:t>
            </w:r>
          </w:p>
        </w:tc>
        <w:tc>
          <w:tcPr>
            <w:tcW w:w="1695" w:type="dxa"/>
            <w:vAlign w:val="center"/>
          </w:tcPr>
          <w:p>
            <w:pPr>
              <w:jc w:val="center"/>
              <w:rPr>
                <w:rFonts w:ascii="宋体" w:hAnsi="宋体"/>
                <w:color w:val="auto"/>
                <w:szCs w:val="21"/>
                <w:highlight w:val="none"/>
              </w:rPr>
            </w:pPr>
          </w:p>
        </w:tc>
      </w:tr>
    </w:tbl>
    <w:p>
      <w:pPr>
        <w:spacing w:beforeLines="50"/>
        <w:rPr>
          <w:rFonts w:ascii="黑体" w:hAnsi="宋体" w:eastAsia="黑体"/>
          <w:color w:val="auto"/>
          <w:szCs w:val="21"/>
          <w:highlight w:val="none"/>
        </w:rPr>
      </w:pPr>
    </w:p>
    <w:p>
      <w:pPr>
        <w:spacing w:beforeLines="50"/>
        <w:rPr>
          <w:rFonts w:ascii="黑体" w:hAnsi="宋体" w:eastAsia="黑体"/>
          <w:color w:val="auto"/>
          <w:szCs w:val="21"/>
          <w:highlight w:val="none"/>
        </w:rPr>
      </w:pPr>
    </w:p>
    <w:p>
      <w:pPr>
        <w:spacing w:beforeLines="50"/>
        <w:ind w:left="630" w:hanging="630" w:hangingChars="300"/>
        <w:rPr>
          <w:rFonts w:ascii="宋体" w:hAnsi="宋体"/>
          <w:color w:val="auto"/>
          <w:szCs w:val="21"/>
          <w:highlight w:val="none"/>
        </w:rPr>
      </w:pPr>
      <w:r>
        <w:rPr>
          <w:rFonts w:hint="eastAsia" w:ascii="宋体" w:hAnsi="宋体"/>
          <w:color w:val="auto"/>
          <w:szCs w:val="21"/>
          <w:highlight w:val="none"/>
        </w:rPr>
        <w:t>备注：专用合同条款约定采用价格指数法进行价格调整时适用本表。表中除“投标人建议值”由投标人结合其投标报价情况选择填写外，其余均由招标人在招标文件发出前填写。</w:t>
      </w:r>
    </w:p>
    <w:p>
      <w:pPr>
        <w:spacing w:line="400" w:lineRule="exact"/>
        <w:rPr>
          <w:color w:val="auto"/>
          <w:highlight w:val="none"/>
        </w:rPr>
      </w:pPr>
      <w:r>
        <w:rPr>
          <w:rFonts w:ascii="宋体" w:hAnsi="宋体"/>
          <w:b/>
          <w:color w:val="auto"/>
          <w:szCs w:val="21"/>
          <w:highlight w:val="none"/>
        </w:rPr>
        <w:br w:type="page"/>
      </w:r>
    </w:p>
    <w:bookmarkEnd w:id="2747"/>
    <w:bookmarkEnd w:id="2748"/>
    <w:bookmarkEnd w:id="2749"/>
    <w:p>
      <w:pPr>
        <w:pStyle w:val="20"/>
        <w:jc w:val="center"/>
        <w:outlineLvl w:val="2"/>
        <w:rPr>
          <w:color w:val="auto"/>
          <w:highlight w:val="none"/>
        </w:rPr>
      </w:pPr>
      <w:bookmarkStart w:id="2824" w:name="_Toc323220044"/>
      <w:bookmarkStart w:id="2825" w:name="_Toc12436"/>
      <w:bookmarkStart w:id="2826" w:name="_Toc4540"/>
      <w:bookmarkStart w:id="2827" w:name="_Toc921265439"/>
      <w:bookmarkStart w:id="2828" w:name="_Toc5785"/>
      <w:bookmarkStart w:id="2829" w:name="_Toc279401965"/>
      <w:bookmarkStart w:id="2830" w:name="_Toc380568806"/>
      <w:bookmarkStart w:id="2831" w:name="_Toc5979"/>
      <w:bookmarkStart w:id="2832" w:name="_Toc336192495"/>
      <w:bookmarkStart w:id="2833" w:name="_Toc428984353"/>
      <w:bookmarkStart w:id="2834" w:name="_Toc325129579"/>
      <w:bookmarkStart w:id="2835" w:name="_Toc28776"/>
      <w:bookmarkStart w:id="2836" w:name="_Toc12306"/>
      <w:bookmarkStart w:id="2837" w:name="_Toc288066309"/>
      <w:bookmarkStart w:id="2838" w:name="_Toc336192587"/>
      <w:r>
        <w:rPr>
          <w:rFonts w:hint="eastAsia"/>
          <w:color w:val="auto"/>
          <w:highlight w:val="none"/>
        </w:rPr>
        <w:t>二、法定代表人身份证明</w:t>
      </w:r>
      <w:bookmarkEnd w:id="2824"/>
      <w:bookmarkEnd w:id="2825"/>
      <w:bookmarkEnd w:id="2826"/>
      <w:bookmarkEnd w:id="2827"/>
      <w:bookmarkEnd w:id="2828"/>
      <w:bookmarkEnd w:id="2829"/>
      <w:bookmarkEnd w:id="2830"/>
      <w:bookmarkEnd w:id="2831"/>
      <w:bookmarkEnd w:id="2832"/>
      <w:bookmarkEnd w:id="2833"/>
      <w:bookmarkEnd w:id="2834"/>
      <w:bookmarkEnd w:id="2835"/>
      <w:bookmarkEnd w:id="2836"/>
      <w:bookmarkEnd w:id="2837"/>
      <w:bookmarkEnd w:id="2838"/>
    </w:p>
    <w:p>
      <w:pPr>
        <w:spacing w:line="360" w:lineRule="auto"/>
        <w:rPr>
          <w:color w:val="auto"/>
          <w:szCs w:val="21"/>
          <w:highlight w:val="none"/>
        </w:rPr>
      </w:pPr>
    </w:p>
    <w:p>
      <w:pPr>
        <w:spacing w:line="600" w:lineRule="exact"/>
        <w:ind w:firstLine="420" w:firstLineChars="200"/>
        <w:rPr>
          <w:color w:val="auto"/>
          <w:szCs w:val="21"/>
          <w:highlight w:val="none"/>
          <w:u w:val="single"/>
        </w:rPr>
      </w:pPr>
      <w:r>
        <w:rPr>
          <w:color w:val="auto"/>
          <w:szCs w:val="21"/>
          <w:highlight w:val="none"/>
        </w:rPr>
        <w:t>投标人名称：</w:t>
      </w:r>
    </w:p>
    <w:p>
      <w:pPr>
        <w:spacing w:line="600" w:lineRule="exact"/>
        <w:ind w:firstLine="420" w:firstLineChars="200"/>
        <w:rPr>
          <w:color w:val="auto"/>
          <w:szCs w:val="21"/>
          <w:highlight w:val="none"/>
          <w:u w:val="single"/>
        </w:rPr>
      </w:pPr>
      <w:r>
        <w:rPr>
          <w:color w:val="auto"/>
          <w:szCs w:val="21"/>
          <w:highlight w:val="none"/>
        </w:rPr>
        <w:t>单位性质：</w:t>
      </w:r>
    </w:p>
    <w:p>
      <w:pPr>
        <w:spacing w:line="600" w:lineRule="exact"/>
        <w:ind w:firstLine="420" w:firstLineChars="200"/>
        <w:rPr>
          <w:color w:val="auto"/>
          <w:szCs w:val="21"/>
          <w:highlight w:val="none"/>
        </w:rPr>
      </w:pPr>
      <w:r>
        <w:rPr>
          <w:color w:val="auto"/>
          <w:szCs w:val="21"/>
          <w:highlight w:val="none"/>
        </w:rPr>
        <w:t>地址：</w:t>
      </w:r>
    </w:p>
    <w:p>
      <w:pPr>
        <w:spacing w:line="600" w:lineRule="exact"/>
        <w:ind w:firstLine="420" w:firstLineChars="200"/>
        <w:rPr>
          <w:color w:val="auto"/>
          <w:szCs w:val="21"/>
          <w:highlight w:val="none"/>
        </w:rPr>
      </w:pPr>
      <w:r>
        <w:rPr>
          <w:color w:val="auto"/>
          <w:szCs w:val="21"/>
          <w:highlight w:val="none"/>
        </w:rPr>
        <w:t>成立时间：</w:t>
      </w:r>
      <w:r>
        <w:rPr>
          <w:rFonts w:hint="eastAsia"/>
          <w:color w:val="auto"/>
          <w:szCs w:val="21"/>
          <w:highlight w:val="none"/>
          <w:lang w:val="en-US" w:eastAsia="zh-CN"/>
        </w:rPr>
        <w:t xml:space="preserve">  </w:t>
      </w: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 xml:space="preserve"> 日 </w:t>
      </w:r>
    </w:p>
    <w:p>
      <w:pPr>
        <w:spacing w:line="600" w:lineRule="exact"/>
        <w:ind w:firstLine="420" w:firstLineChars="200"/>
        <w:rPr>
          <w:color w:val="auto"/>
          <w:szCs w:val="21"/>
          <w:highlight w:val="none"/>
        </w:rPr>
      </w:pPr>
      <w:r>
        <w:rPr>
          <w:color w:val="auto"/>
          <w:szCs w:val="21"/>
          <w:highlight w:val="none"/>
        </w:rPr>
        <w:t>经营期限：</w:t>
      </w:r>
    </w:p>
    <w:p>
      <w:pPr>
        <w:spacing w:line="440" w:lineRule="exact"/>
        <w:ind w:firstLine="420" w:firstLineChars="200"/>
        <w:rPr>
          <w:color w:val="auto"/>
          <w:szCs w:val="21"/>
          <w:highlight w:val="none"/>
        </w:rPr>
      </w:pPr>
      <w:r>
        <w:rPr>
          <w:color w:val="auto"/>
          <w:szCs w:val="21"/>
          <w:highlight w:val="none"/>
        </w:rPr>
        <w:t>姓名： 性别：</w:t>
      </w:r>
    </w:p>
    <w:p>
      <w:pPr>
        <w:spacing w:line="440" w:lineRule="exact"/>
        <w:ind w:firstLine="420" w:firstLineChars="200"/>
        <w:rPr>
          <w:rFonts w:ascii="宋体" w:hAnsi="宋体"/>
          <w:color w:val="auto"/>
          <w:szCs w:val="21"/>
          <w:highlight w:val="none"/>
          <w:u w:val="single"/>
        </w:rPr>
      </w:pPr>
      <w:r>
        <w:rPr>
          <w:color w:val="auto"/>
          <w:szCs w:val="21"/>
          <w:highlight w:val="none"/>
        </w:rPr>
        <w:t>年龄：</w:t>
      </w:r>
      <w:r>
        <w:rPr>
          <w:rFonts w:hint="eastAsia"/>
          <w:color w:val="auto"/>
          <w:szCs w:val="21"/>
          <w:highlight w:val="none"/>
          <w:lang w:val="en-US" w:eastAsia="zh-CN"/>
        </w:rPr>
        <w:t xml:space="preserve"> </w:t>
      </w:r>
      <w:r>
        <w:rPr>
          <w:rFonts w:ascii="宋体" w:hAnsi="宋体"/>
          <w:color w:val="auto"/>
          <w:szCs w:val="21"/>
          <w:highlight w:val="none"/>
        </w:rPr>
        <w:t>职务：</w:t>
      </w:r>
    </w:p>
    <w:p>
      <w:pPr>
        <w:spacing w:line="440" w:lineRule="exact"/>
        <w:ind w:firstLine="420" w:firstLineChars="200"/>
        <w:rPr>
          <w:color w:val="auto"/>
          <w:szCs w:val="21"/>
          <w:highlight w:val="none"/>
        </w:rPr>
      </w:pPr>
      <w:r>
        <w:rPr>
          <w:color w:val="auto"/>
          <w:szCs w:val="21"/>
          <w:highlight w:val="none"/>
        </w:rPr>
        <w:t>系</w:t>
      </w:r>
      <w:r>
        <w:rPr>
          <w:color w:val="auto"/>
          <w:szCs w:val="21"/>
          <w:highlight w:val="none"/>
          <w:u w:val="single"/>
        </w:rPr>
        <w:t>（投标人名称）</w:t>
      </w:r>
      <w:r>
        <w:rPr>
          <w:color w:val="auto"/>
          <w:szCs w:val="21"/>
          <w:highlight w:val="none"/>
        </w:rPr>
        <w:t>的法定代表人。</w:t>
      </w:r>
    </w:p>
    <w:p>
      <w:pPr>
        <w:spacing w:line="600" w:lineRule="exact"/>
        <w:ind w:firstLine="420" w:firstLineChars="200"/>
        <w:rPr>
          <w:color w:val="auto"/>
          <w:szCs w:val="21"/>
          <w:highlight w:val="none"/>
        </w:rPr>
      </w:pPr>
      <w:r>
        <w:rPr>
          <w:color w:val="auto"/>
          <w:szCs w:val="21"/>
          <w:highlight w:val="none"/>
        </w:rPr>
        <w:t>特此证明。</w:t>
      </w:r>
    </w:p>
    <w:p>
      <w:pPr>
        <w:spacing w:line="600" w:lineRule="exact"/>
        <w:ind w:firstLine="840" w:firstLineChars="400"/>
        <w:rPr>
          <w:rFonts w:ascii="宋体" w:hAnsi="宋体"/>
          <w:bCs/>
          <w:color w:val="auto"/>
          <w:szCs w:val="21"/>
          <w:highlight w:val="none"/>
        </w:rPr>
      </w:pPr>
    </w:p>
    <w:p>
      <w:pPr>
        <w:spacing w:line="600" w:lineRule="exact"/>
        <w:ind w:firstLine="420" w:firstLineChars="200"/>
        <w:rPr>
          <w:color w:val="auto"/>
          <w:szCs w:val="21"/>
          <w:highlight w:val="none"/>
        </w:rPr>
      </w:pPr>
    </w:p>
    <w:p>
      <w:pPr>
        <w:spacing w:line="600" w:lineRule="exact"/>
        <w:rPr>
          <w:color w:val="auto"/>
          <w:szCs w:val="21"/>
          <w:highlight w:val="none"/>
        </w:rPr>
      </w:pPr>
    </w:p>
    <w:p>
      <w:pPr>
        <w:spacing w:line="600" w:lineRule="exact"/>
        <w:rPr>
          <w:color w:val="auto"/>
          <w:szCs w:val="21"/>
          <w:highlight w:val="none"/>
        </w:rPr>
      </w:pPr>
      <w:r>
        <w:rPr>
          <w:color w:val="auto"/>
          <w:szCs w:val="21"/>
          <w:highlight w:val="none"/>
        </w:rPr>
        <w:t xml:space="preserve"> 投标人：（盖</w:t>
      </w:r>
      <w:r>
        <w:rPr>
          <w:rFonts w:hint="eastAsia"/>
          <w:color w:val="auto"/>
          <w:szCs w:val="21"/>
          <w:highlight w:val="none"/>
        </w:rPr>
        <w:t>单位</w:t>
      </w:r>
      <w:r>
        <w:rPr>
          <w:color w:val="auto"/>
          <w:szCs w:val="21"/>
          <w:highlight w:val="none"/>
        </w:rPr>
        <w:t xml:space="preserve">章） </w:t>
      </w:r>
    </w:p>
    <w:p>
      <w:pPr>
        <w:spacing w:line="600" w:lineRule="exact"/>
        <w:ind w:firstLine="4095" w:firstLineChars="1950"/>
        <w:rPr>
          <w:color w:val="auto"/>
          <w:szCs w:val="21"/>
          <w:highlight w:val="none"/>
        </w:rPr>
      </w:pPr>
      <w:r>
        <w:rPr>
          <w:color w:val="auto"/>
          <w:szCs w:val="21"/>
          <w:highlight w:val="none"/>
        </w:rPr>
        <w:t>日 期：</w:t>
      </w:r>
      <w:r>
        <w:rPr>
          <w:rFonts w:hint="eastAsia"/>
          <w:color w:val="auto"/>
          <w:szCs w:val="21"/>
          <w:highlight w:val="none"/>
          <w:lang w:val="en-US" w:eastAsia="zh-CN"/>
        </w:rPr>
        <w:t xml:space="preserve">  </w:t>
      </w:r>
      <w:r>
        <w:rPr>
          <w:color w:val="auto"/>
          <w:szCs w:val="21"/>
          <w:highlight w:val="none"/>
        </w:rPr>
        <w:t>年</w:t>
      </w:r>
      <w:r>
        <w:rPr>
          <w:rFonts w:hint="eastAsia"/>
          <w:color w:val="auto"/>
          <w:szCs w:val="21"/>
          <w:highlight w:val="none"/>
          <w:lang w:val="en-US" w:eastAsia="zh-CN"/>
        </w:rPr>
        <w:t xml:space="preserve">  </w:t>
      </w:r>
      <w:r>
        <w:rPr>
          <w:color w:val="auto"/>
          <w:szCs w:val="21"/>
          <w:highlight w:val="none"/>
        </w:rPr>
        <w:t>月</w:t>
      </w:r>
      <w:r>
        <w:rPr>
          <w:rFonts w:hint="eastAsia"/>
          <w:color w:val="auto"/>
          <w:szCs w:val="21"/>
          <w:highlight w:val="none"/>
          <w:lang w:val="en-US" w:eastAsia="zh-CN"/>
        </w:rPr>
        <w:t xml:space="preserve">  </w:t>
      </w:r>
      <w:r>
        <w:rPr>
          <w:color w:val="auto"/>
          <w:szCs w:val="21"/>
          <w:highlight w:val="none"/>
        </w:rPr>
        <w:t>日</w:t>
      </w:r>
    </w:p>
    <w:p>
      <w:pPr>
        <w:spacing w:line="360" w:lineRule="auto"/>
        <w:rPr>
          <w:color w:val="auto"/>
          <w:szCs w:val="21"/>
          <w:highlight w:val="none"/>
        </w:rPr>
      </w:pPr>
    </w:p>
    <w:p>
      <w:pPr>
        <w:spacing w:line="360" w:lineRule="auto"/>
        <w:rPr>
          <w:color w:val="auto"/>
          <w:szCs w:val="21"/>
          <w:highlight w:val="none"/>
        </w:rPr>
      </w:pPr>
    </w:p>
    <w:p>
      <w:pPr>
        <w:spacing w:line="360" w:lineRule="auto"/>
        <w:rPr>
          <w:rFonts w:ascii="宋体" w:hAnsi="宋体"/>
          <w:bCs/>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360" w:lineRule="auto"/>
        <w:rPr>
          <w:color w:val="auto"/>
          <w:szCs w:val="21"/>
          <w:highlight w:val="none"/>
        </w:rPr>
      </w:pPr>
    </w:p>
    <w:p>
      <w:pPr>
        <w:spacing w:line="480" w:lineRule="auto"/>
        <w:ind w:right="-158" w:rightChars="-75" w:firstLine="2760" w:firstLineChars="1150"/>
        <w:rPr>
          <w:color w:val="auto"/>
          <w:sz w:val="24"/>
          <w:highlight w:val="none"/>
        </w:rPr>
      </w:pPr>
    </w:p>
    <w:p>
      <w:pPr>
        <w:pStyle w:val="20"/>
        <w:jc w:val="center"/>
        <w:outlineLvl w:val="2"/>
        <w:rPr>
          <w:color w:val="auto"/>
          <w:highlight w:val="none"/>
        </w:rPr>
      </w:pPr>
      <w:bookmarkStart w:id="2839" w:name="_Toc20240"/>
      <w:bookmarkStart w:id="2840" w:name="_Toc40566426"/>
      <w:bookmarkStart w:id="2841" w:name="_Toc152045793"/>
      <w:bookmarkStart w:id="2842" w:name="_Toc399582915"/>
      <w:bookmarkStart w:id="2843" w:name="_Toc23478"/>
      <w:bookmarkStart w:id="2844" w:name="_Toc28529"/>
      <w:bookmarkStart w:id="2845" w:name="_Toc387753630"/>
      <w:bookmarkStart w:id="2846" w:name="_Toc179632813"/>
      <w:bookmarkStart w:id="2847" w:name="_Toc22925"/>
      <w:bookmarkStart w:id="2848" w:name="_Toc152042582"/>
      <w:bookmarkStart w:id="2849" w:name="_Toc429598763"/>
      <w:bookmarkStart w:id="2850" w:name="_Toc11965"/>
      <w:bookmarkStart w:id="2851" w:name="_Toc10847"/>
      <w:r>
        <w:rPr>
          <w:rFonts w:hint="eastAsia"/>
          <w:color w:val="auto"/>
          <w:highlight w:val="none"/>
        </w:rPr>
        <w:t>三、投标保证金</w:t>
      </w:r>
      <w:bookmarkEnd w:id="2839"/>
      <w:bookmarkEnd w:id="2840"/>
    </w:p>
    <w:p>
      <w:pPr>
        <w:spacing w:line="460" w:lineRule="exact"/>
        <w:ind w:firstLine="6300" w:firstLineChars="3000"/>
        <w:rPr>
          <w:rFonts w:ascii="宋体" w:hAnsi="宋体"/>
          <w:color w:val="auto"/>
          <w:szCs w:val="21"/>
          <w:highlight w:val="none"/>
        </w:rPr>
      </w:pPr>
    </w:p>
    <w:p>
      <w:pPr>
        <w:spacing w:line="460" w:lineRule="exact"/>
        <w:ind w:firstLine="6300" w:firstLineChars="3000"/>
        <w:jc w:val="left"/>
        <w:rPr>
          <w:rFonts w:ascii="宋体" w:hAnsi="宋体"/>
          <w:color w:val="auto"/>
          <w:szCs w:val="21"/>
          <w:highlight w:val="none"/>
        </w:rPr>
      </w:pPr>
    </w:p>
    <w:p>
      <w:pPr>
        <w:spacing w:line="360" w:lineRule="auto"/>
        <w:ind w:firstLine="525" w:firstLineChars="250"/>
        <w:rPr>
          <w:rFonts w:ascii="宋体" w:hAnsi="宋体"/>
          <w:color w:val="auto"/>
          <w:highlight w:val="none"/>
        </w:rPr>
      </w:pPr>
      <w:r>
        <w:rPr>
          <w:rFonts w:hint="eastAsia" w:ascii="宋体" w:hAnsi="宋体"/>
          <w:color w:val="auto"/>
          <w:highlight w:val="none"/>
        </w:rPr>
        <w:t>若采用现金或支票，投标人应在此提供汇款凭证的</w:t>
      </w:r>
      <w:r>
        <w:rPr>
          <w:rFonts w:hint="eastAsia" w:ascii="宋体" w:hAnsi="宋体"/>
          <w:color w:val="auto"/>
          <w:szCs w:val="21"/>
          <w:highlight w:val="none"/>
        </w:rPr>
        <w:t>扫描</w:t>
      </w:r>
      <w:r>
        <w:rPr>
          <w:rFonts w:hint="eastAsia" w:ascii="宋体" w:hAnsi="宋体"/>
          <w:color w:val="auto"/>
          <w:highlight w:val="none"/>
        </w:rPr>
        <w:t>件。</w:t>
      </w:r>
    </w:p>
    <w:p>
      <w:pPr>
        <w:spacing w:line="360" w:lineRule="auto"/>
        <w:ind w:firstLine="525" w:firstLineChars="250"/>
        <w:rPr>
          <w:rFonts w:ascii="宋体" w:hAnsi="宋体"/>
          <w:color w:val="auto"/>
          <w:highlight w:val="none"/>
        </w:rPr>
      </w:pPr>
      <w:r>
        <w:rPr>
          <w:rFonts w:hint="eastAsia" w:ascii="宋体" w:hAnsi="宋体"/>
          <w:color w:val="auto"/>
          <w:highlight w:val="none"/>
        </w:rPr>
        <w:t>如采用银行保函，参考格式如下。</w:t>
      </w: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r>
        <w:rPr>
          <w:rFonts w:ascii="宋体" w:hAnsi="宋体"/>
          <w:color w:val="auto"/>
          <w:highlight w:val="none"/>
          <w:u w:val="single"/>
        </w:rPr>
        <w:tab/>
      </w:r>
      <w:r>
        <w:rPr>
          <w:rFonts w:hint="eastAsia" w:ascii="宋体" w:hAnsi="宋体"/>
          <w:color w:val="auto"/>
          <w:highlight w:val="none"/>
        </w:rPr>
        <w:t>（招标人名称）：</w:t>
      </w:r>
    </w:p>
    <w:p>
      <w:pPr>
        <w:spacing w:line="360" w:lineRule="auto"/>
        <w:ind w:firstLine="420" w:firstLineChars="200"/>
        <w:rPr>
          <w:rFonts w:ascii="宋体" w:hAnsi="宋体"/>
          <w:color w:val="auto"/>
          <w:highlight w:val="none"/>
        </w:rPr>
      </w:pPr>
      <w:r>
        <w:rPr>
          <w:rFonts w:hint="eastAsia" w:ascii="宋体" w:hAnsi="宋体"/>
          <w:color w:val="auto"/>
          <w:highlight w:val="none"/>
        </w:rPr>
        <w:t>鉴于</w:t>
      </w:r>
      <w:r>
        <w:rPr>
          <w:rFonts w:ascii="宋体" w:hAnsi="宋体"/>
          <w:color w:val="auto"/>
          <w:highlight w:val="none"/>
          <w:u w:val="single"/>
        </w:rPr>
        <w:tab/>
      </w:r>
      <w:r>
        <w:rPr>
          <w:rFonts w:hint="eastAsia" w:ascii="宋体" w:hAnsi="宋体"/>
          <w:color w:val="auto"/>
          <w:highlight w:val="none"/>
          <w:u w:val="single"/>
          <w:lang w:val="en-US" w:eastAsia="zh-CN"/>
        </w:rPr>
        <w:t xml:space="preserve">  </w:t>
      </w:r>
      <w:r>
        <w:rPr>
          <w:rFonts w:hint="eastAsia" w:ascii="宋体" w:hAnsi="宋体"/>
          <w:color w:val="auto"/>
          <w:highlight w:val="none"/>
        </w:rPr>
        <w:t>（投标人名称）（以下称</w:t>
      </w:r>
      <w:r>
        <w:rPr>
          <w:rFonts w:ascii="宋体" w:hAnsi="宋体"/>
          <w:color w:val="auto"/>
          <w:highlight w:val="none"/>
        </w:rPr>
        <w:t>“</w:t>
      </w:r>
      <w:r>
        <w:rPr>
          <w:rFonts w:hint="eastAsia" w:ascii="宋体" w:hAnsi="宋体"/>
          <w:color w:val="auto"/>
          <w:highlight w:val="none"/>
        </w:rPr>
        <w:t>投标人</w:t>
      </w:r>
      <w:r>
        <w:rPr>
          <w:rFonts w:ascii="宋体" w:hAnsi="宋体"/>
          <w:color w:val="auto"/>
          <w:highlight w:val="none"/>
        </w:rPr>
        <w:t>”</w:t>
      </w:r>
      <w:r>
        <w:rPr>
          <w:rFonts w:hint="eastAsia" w:ascii="宋体" w:hAnsi="宋体"/>
          <w:color w:val="auto"/>
          <w:highlight w:val="none"/>
        </w:rPr>
        <w:t>）于</w:t>
      </w:r>
      <w:r>
        <w:rPr>
          <w:rFonts w:hint="eastAsia"/>
          <w:color w:val="auto"/>
          <w:highlight w:val="none"/>
          <w:u w:val="single"/>
          <w:lang w:val="en-US" w:eastAsia="zh-CN"/>
        </w:rPr>
        <w:t xml:space="preserve">     </w:t>
      </w:r>
      <w:r>
        <w:rPr>
          <w:rFonts w:hint="eastAsia" w:ascii="宋体" w:hAnsi="宋体"/>
          <w:color w:val="auto"/>
          <w:highlight w:val="none"/>
        </w:rPr>
        <w:t>年</w:t>
      </w:r>
      <w:r>
        <w:rPr>
          <w:rFonts w:hint="eastAsia"/>
          <w:color w:val="auto"/>
          <w:highlight w:val="none"/>
          <w:u w:val="single"/>
          <w:lang w:val="en-US" w:eastAsia="zh-CN"/>
        </w:rPr>
        <w:t xml:space="preserve">     </w:t>
      </w:r>
      <w:r>
        <w:rPr>
          <w:rFonts w:hint="eastAsia" w:ascii="宋体" w:hAnsi="宋体"/>
          <w:color w:val="auto"/>
          <w:highlight w:val="none"/>
        </w:rPr>
        <w:t>月</w:t>
      </w:r>
      <w:r>
        <w:rPr>
          <w:rFonts w:ascii="宋体" w:hAnsi="宋体"/>
          <w:color w:val="auto"/>
          <w:highlight w:val="none"/>
          <w:u w:val="single"/>
        </w:rPr>
        <w:tab/>
      </w:r>
      <w:r>
        <w:rPr>
          <w:rFonts w:hint="eastAsia" w:ascii="宋体" w:hAnsi="宋体"/>
          <w:color w:val="auto"/>
          <w:highlight w:val="none"/>
        </w:rPr>
        <w:t>日参加</w:t>
      </w:r>
      <w:r>
        <w:rPr>
          <w:rFonts w:hint="eastAsia"/>
          <w:color w:val="auto"/>
          <w:highlight w:val="none"/>
          <w:u w:val="single"/>
          <w:lang w:val="en-US" w:eastAsia="zh-CN"/>
        </w:rPr>
        <w:t xml:space="preserve">     </w:t>
      </w:r>
      <w:r>
        <w:rPr>
          <w:rFonts w:ascii="宋体" w:hAnsi="宋体"/>
          <w:color w:val="auto"/>
          <w:szCs w:val="21"/>
          <w:highlight w:val="none"/>
        </w:rPr>
        <w:t>（项目名称）</w:t>
      </w:r>
      <w:r>
        <w:rPr>
          <w:rFonts w:hint="eastAsia"/>
          <w:color w:val="auto"/>
          <w:highlight w:val="none"/>
          <w:u w:val="single"/>
          <w:lang w:val="en-US" w:eastAsia="zh-CN"/>
        </w:rPr>
        <w:t xml:space="preserve">     </w:t>
      </w:r>
      <w:r>
        <w:rPr>
          <w:rFonts w:hint="eastAsia" w:ascii="宋体" w:hAnsi="宋体"/>
          <w:color w:val="auto"/>
          <w:szCs w:val="21"/>
          <w:highlight w:val="none"/>
        </w:rPr>
        <w:t>（标段名称）施工</w:t>
      </w:r>
      <w:r>
        <w:rPr>
          <w:rFonts w:hint="eastAsia" w:ascii="宋体" w:hAnsi="宋体"/>
          <w:color w:val="auto"/>
          <w:highlight w:val="none"/>
        </w:rPr>
        <w:t>的投标，</w:t>
      </w:r>
      <w:r>
        <w:rPr>
          <w:rFonts w:hint="eastAsia"/>
          <w:color w:val="auto"/>
          <w:highlight w:val="none"/>
          <w:u w:val="single"/>
          <w:lang w:val="en-US" w:eastAsia="zh-CN"/>
        </w:rPr>
        <w:t xml:space="preserve">     </w:t>
      </w:r>
      <w:r>
        <w:rPr>
          <w:rFonts w:hint="eastAsia" w:ascii="宋体" w:hAnsi="宋体"/>
          <w:color w:val="auto"/>
          <w:highlight w:val="none"/>
        </w:rPr>
        <w:t>（担保人名称，以下简称</w:t>
      </w:r>
      <w:r>
        <w:rPr>
          <w:rFonts w:ascii="宋体" w:hAnsi="宋体"/>
          <w:color w:val="auto"/>
          <w:highlight w:val="none"/>
        </w:rPr>
        <w:t>“</w:t>
      </w:r>
      <w:r>
        <w:rPr>
          <w:rFonts w:hint="eastAsia" w:ascii="宋体" w:hAnsi="宋体"/>
          <w:color w:val="auto"/>
          <w:highlight w:val="none"/>
        </w:rPr>
        <w:t>我方</w:t>
      </w:r>
      <w:r>
        <w:rPr>
          <w:rFonts w:ascii="宋体" w:hAnsi="宋体"/>
          <w:color w:val="auto"/>
          <w:highlight w:val="none"/>
        </w:rPr>
        <w:t>”</w:t>
      </w:r>
      <w:r>
        <w:rPr>
          <w:rFonts w:hint="eastAsia" w:ascii="宋体" w:hAnsi="宋体"/>
          <w:color w:val="auto"/>
          <w:highlight w:val="none"/>
        </w:rPr>
        <w:t>）无条件地、不可撤销地保证：若投标人在投标有效期内撤销投标文件，中标后无正当理由不与招标人订立合同，在签订合同时向招标人提出附加条件，不按照招标文件要求提交履约保证金，或者发生招标文件明确规定可以不予退还投标保证金的其他情形，我方承担保证责任。收到你方书面通知后，我方在</w:t>
      </w:r>
      <w:r>
        <w:rPr>
          <w:rFonts w:ascii="宋体" w:hAnsi="宋体"/>
          <w:color w:val="auto"/>
          <w:highlight w:val="none"/>
        </w:rPr>
        <w:t xml:space="preserve"> 7 </w:t>
      </w:r>
      <w:r>
        <w:rPr>
          <w:rFonts w:hint="eastAsia" w:ascii="宋体" w:hAnsi="宋体"/>
          <w:color w:val="auto"/>
          <w:highlight w:val="none"/>
        </w:rPr>
        <w:t>日内向你方无条件支付人民币（大写）</w:t>
      </w:r>
      <w:r>
        <w:rPr>
          <w:rFonts w:hint="eastAsia"/>
          <w:color w:val="auto"/>
          <w:highlight w:val="none"/>
          <w:u w:val="single"/>
          <w:lang w:val="en-US" w:eastAsia="zh-CN"/>
        </w:rPr>
        <w:t xml:space="preserve">     </w:t>
      </w:r>
      <w:r>
        <w:rPr>
          <w:rFonts w:hint="eastAsia" w:ascii="宋体" w:hAnsi="宋体"/>
          <w:color w:val="auto"/>
          <w:highlight w:val="none"/>
        </w:rPr>
        <w:t>元。</w:t>
      </w:r>
    </w:p>
    <w:p>
      <w:pPr>
        <w:spacing w:line="360" w:lineRule="auto"/>
        <w:ind w:firstLine="420" w:firstLineChars="200"/>
        <w:rPr>
          <w:rFonts w:ascii="宋体" w:hAnsi="宋体"/>
          <w:color w:val="auto"/>
          <w:highlight w:val="none"/>
        </w:rPr>
      </w:pPr>
      <w:r>
        <w:rPr>
          <w:rFonts w:hint="eastAsia" w:ascii="宋体" w:hAnsi="宋体"/>
          <w:color w:val="auto"/>
          <w:highlight w:val="none"/>
        </w:rPr>
        <w:t>本保函在投标有效期内保持有效。要求我方承担保证责任的通知应在投标有效期内送达我方。</w:t>
      </w:r>
    </w:p>
    <w:p>
      <w:pPr>
        <w:autoSpaceDE w:val="0"/>
        <w:autoSpaceDN w:val="0"/>
        <w:adjustRightInd w:val="0"/>
        <w:spacing w:line="200" w:lineRule="exact"/>
        <w:jc w:val="left"/>
        <w:rPr>
          <w:rFonts w:ascii="宋体" w:hAnsi="宋体" w:cs="微软雅黑"/>
          <w:color w:val="auto"/>
          <w:kern w:val="0"/>
          <w:sz w:val="20"/>
          <w:highlight w:val="none"/>
        </w:rPr>
      </w:pPr>
    </w:p>
    <w:p>
      <w:pPr>
        <w:autoSpaceDE w:val="0"/>
        <w:autoSpaceDN w:val="0"/>
        <w:adjustRightInd w:val="0"/>
        <w:spacing w:line="200" w:lineRule="exact"/>
        <w:jc w:val="left"/>
        <w:rPr>
          <w:rFonts w:ascii="宋体" w:hAnsi="宋体" w:cs="微软雅黑"/>
          <w:color w:val="auto"/>
          <w:kern w:val="0"/>
          <w:sz w:val="20"/>
          <w:highlight w:val="none"/>
        </w:rPr>
      </w:pPr>
    </w:p>
    <w:p>
      <w:pPr>
        <w:autoSpaceDE w:val="0"/>
        <w:autoSpaceDN w:val="0"/>
        <w:adjustRightInd w:val="0"/>
        <w:spacing w:line="200" w:lineRule="exact"/>
        <w:jc w:val="left"/>
        <w:rPr>
          <w:rFonts w:ascii="宋体" w:hAnsi="宋体" w:cs="微软雅黑"/>
          <w:color w:val="auto"/>
          <w:kern w:val="0"/>
          <w:sz w:val="20"/>
          <w:highlight w:val="none"/>
        </w:rPr>
      </w:pPr>
    </w:p>
    <w:p>
      <w:pPr>
        <w:autoSpaceDE w:val="0"/>
        <w:autoSpaceDN w:val="0"/>
        <w:adjustRightInd w:val="0"/>
        <w:spacing w:line="200" w:lineRule="exact"/>
        <w:jc w:val="left"/>
        <w:rPr>
          <w:rFonts w:ascii="宋体" w:hAnsi="宋体" w:cs="微软雅黑"/>
          <w:color w:val="auto"/>
          <w:kern w:val="0"/>
          <w:sz w:val="20"/>
          <w:highlight w:val="none"/>
        </w:rPr>
      </w:pPr>
    </w:p>
    <w:p>
      <w:pPr>
        <w:autoSpaceDE w:val="0"/>
        <w:autoSpaceDN w:val="0"/>
        <w:adjustRightInd w:val="0"/>
        <w:spacing w:line="200" w:lineRule="exact"/>
        <w:jc w:val="left"/>
        <w:rPr>
          <w:rFonts w:ascii="宋体" w:hAnsi="宋体" w:cs="微软雅黑"/>
          <w:color w:val="auto"/>
          <w:kern w:val="0"/>
          <w:sz w:val="20"/>
          <w:highlight w:val="none"/>
        </w:rPr>
      </w:pPr>
    </w:p>
    <w:p>
      <w:pPr>
        <w:autoSpaceDE w:val="0"/>
        <w:autoSpaceDN w:val="0"/>
        <w:adjustRightInd w:val="0"/>
        <w:spacing w:line="200" w:lineRule="exact"/>
        <w:jc w:val="left"/>
        <w:rPr>
          <w:rFonts w:ascii="宋体" w:hAnsi="宋体" w:cs="微软雅黑"/>
          <w:color w:val="auto"/>
          <w:kern w:val="0"/>
          <w:sz w:val="20"/>
          <w:highlight w:val="none"/>
        </w:rPr>
      </w:pPr>
    </w:p>
    <w:p>
      <w:pPr>
        <w:autoSpaceDE w:val="0"/>
        <w:autoSpaceDN w:val="0"/>
        <w:adjustRightInd w:val="0"/>
        <w:spacing w:line="240" w:lineRule="exact"/>
        <w:jc w:val="left"/>
        <w:rPr>
          <w:rFonts w:ascii="宋体" w:hAnsi="宋体" w:cs="微软雅黑"/>
          <w:color w:val="auto"/>
          <w:kern w:val="0"/>
          <w:sz w:val="24"/>
          <w:highlight w:val="none"/>
        </w:rPr>
      </w:pPr>
    </w:p>
    <w:p>
      <w:pPr>
        <w:spacing w:line="360" w:lineRule="auto"/>
        <w:ind w:right="420" w:firstLine="3150" w:firstLineChars="1500"/>
        <w:rPr>
          <w:rFonts w:ascii="宋体" w:hAnsi="宋体"/>
          <w:color w:val="auto"/>
          <w:highlight w:val="none"/>
        </w:rPr>
      </w:pPr>
      <w:r>
        <w:rPr>
          <w:rFonts w:hint="eastAsia" w:ascii="宋体" w:hAnsi="宋体"/>
          <w:color w:val="auto"/>
          <w:highlight w:val="none"/>
        </w:rPr>
        <w:t>担保人名称：（盖单位章）</w:t>
      </w:r>
    </w:p>
    <w:p>
      <w:pPr>
        <w:spacing w:line="360" w:lineRule="auto"/>
        <w:ind w:right="525"/>
        <w:jc w:val="center"/>
        <w:rPr>
          <w:rFonts w:ascii="宋体" w:hAnsi="宋体"/>
          <w:color w:val="auto"/>
          <w:highlight w:val="none"/>
        </w:rPr>
      </w:pPr>
      <w:r>
        <w:rPr>
          <w:rFonts w:hint="eastAsia" w:ascii="宋体" w:hAnsi="宋体"/>
          <w:color w:val="auto"/>
          <w:highlight w:val="none"/>
          <w:lang w:val="en-US" w:eastAsia="zh-CN"/>
        </w:rPr>
        <w:t xml:space="preserve">                          </w:t>
      </w:r>
      <w:r>
        <w:rPr>
          <w:rFonts w:hint="eastAsia" w:ascii="宋体" w:hAnsi="宋体"/>
          <w:color w:val="auto"/>
          <w:highlight w:val="none"/>
        </w:rPr>
        <w:t>法定代</w:t>
      </w:r>
      <w:r>
        <w:rPr>
          <w:rFonts w:hint="eastAsia" w:ascii="宋体" w:hAnsi="宋体" w:cs="微软雅黑"/>
          <w:color w:val="auto"/>
          <w:kern w:val="0"/>
          <w:szCs w:val="21"/>
          <w:highlight w:val="none"/>
        </w:rPr>
        <w:t>表人（单位负责人）或委托代理</w:t>
      </w:r>
      <w:r>
        <w:rPr>
          <w:rFonts w:hint="eastAsia" w:ascii="宋体" w:hAnsi="宋体" w:cs="微软雅黑"/>
          <w:color w:val="auto"/>
          <w:spacing w:val="-2"/>
          <w:kern w:val="0"/>
          <w:position w:val="-2"/>
          <w:szCs w:val="21"/>
          <w:highlight w:val="none"/>
        </w:rPr>
        <w:t>人</w:t>
      </w:r>
      <w:r>
        <w:rPr>
          <w:rFonts w:hint="eastAsia" w:ascii="宋体" w:hAnsi="宋体"/>
          <w:color w:val="auto"/>
          <w:highlight w:val="none"/>
        </w:rPr>
        <w:t>：（签字）</w:t>
      </w:r>
    </w:p>
    <w:p>
      <w:pPr>
        <w:spacing w:line="360" w:lineRule="auto"/>
        <w:ind w:right="630" w:firstLine="3150" w:firstLineChars="1500"/>
        <w:rPr>
          <w:rFonts w:ascii="宋体" w:hAnsi="宋体"/>
          <w:color w:val="auto"/>
          <w:highlight w:val="none"/>
        </w:rPr>
      </w:pPr>
      <w:r>
        <w:rPr>
          <w:rFonts w:hint="eastAsia" w:ascii="宋体" w:hAnsi="宋体"/>
          <w:color w:val="auto"/>
          <w:highlight w:val="none"/>
        </w:rPr>
        <w:t>地    址：</w:t>
      </w:r>
    </w:p>
    <w:p>
      <w:pPr>
        <w:spacing w:line="360" w:lineRule="auto"/>
        <w:ind w:right="420" w:firstLine="3150" w:firstLineChars="1500"/>
        <w:rPr>
          <w:rFonts w:ascii="宋体" w:hAnsi="宋体"/>
          <w:color w:val="auto"/>
          <w:highlight w:val="none"/>
        </w:rPr>
      </w:pPr>
      <w:r>
        <w:rPr>
          <w:rFonts w:hint="eastAsia" w:ascii="宋体" w:hAnsi="宋体"/>
          <w:color w:val="auto"/>
          <w:highlight w:val="none"/>
        </w:rPr>
        <w:t>邮政编码：</w:t>
      </w:r>
    </w:p>
    <w:p>
      <w:pPr>
        <w:spacing w:line="360" w:lineRule="auto"/>
        <w:ind w:right="420" w:firstLine="3150" w:firstLineChars="1500"/>
        <w:rPr>
          <w:rFonts w:ascii="宋体" w:hAnsi="宋体"/>
          <w:color w:val="auto"/>
          <w:highlight w:val="none"/>
        </w:rPr>
      </w:pPr>
      <w:r>
        <w:rPr>
          <w:rFonts w:hint="eastAsia" w:ascii="宋体" w:hAnsi="宋体"/>
          <w:color w:val="auto"/>
          <w:highlight w:val="none"/>
        </w:rPr>
        <w:t>电    话：</w:t>
      </w:r>
    </w:p>
    <w:p>
      <w:pPr>
        <w:spacing w:line="360" w:lineRule="auto"/>
        <w:ind w:right="420" w:firstLine="3150" w:firstLineChars="1500"/>
        <w:rPr>
          <w:rFonts w:ascii="宋体" w:hAnsi="宋体"/>
          <w:color w:val="auto"/>
          <w:highlight w:val="none"/>
        </w:rPr>
      </w:pPr>
      <w:r>
        <w:rPr>
          <w:rFonts w:hint="eastAsia" w:ascii="宋体" w:hAnsi="宋体"/>
          <w:color w:val="auto"/>
          <w:highlight w:val="none"/>
        </w:rPr>
        <w:t>传    真：</w:t>
      </w:r>
    </w:p>
    <w:p>
      <w:pPr>
        <w:spacing w:line="360" w:lineRule="auto"/>
        <w:jc w:val="right"/>
        <w:rPr>
          <w:rFonts w:ascii="宋体" w:hAnsi="宋体"/>
          <w:color w:val="auto"/>
          <w:highlight w:val="none"/>
        </w:rPr>
      </w:pPr>
    </w:p>
    <w:p>
      <w:pPr>
        <w:spacing w:line="360" w:lineRule="auto"/>
        <w:ind w:right="420" w:firstLine="435"/>
        <w:jc w:val="center"/>
        <w:rPr>
          <w:rFonts w:ascii="宋体" w:hAnsi="宋体"/>
          <w:color w:val="auto"/>
          <w:highlight w:val="none"/>
        </w:rPr>
      </w:pPr>
      <w:r>
        <w:rPr>
          <w:rFonts w:hint="eastAsia" w:ascii="宋体" w:hAnsi="宋体"/>
          <w:color w:val="auto"/>
          <w:highlight w:val="none"/>
        </w:rPr>
        <w:t xml:space="preserve">                                    _____年_____月_____日</w:t>
      </w:r>
    </w:p>
    <w:bookmarkEnd w:id="2841"/>
    <w:bookmarkEnd w:id="2842"/>
    <w:bookmarkEnd w:id="2843"/>
    <w:bookmarkEnd w:id="2844"/>
    <w:bookmarkEnd w:id="2845"/>
    <w:bookmarkEnd w:id="2846"/>
    <w:bookmarkEnd w:id="2847"/>
    <w:bookmarkEnd w:id="2848"/>
    <w:bookmarkEnd w:id="2849"/>
    <w:bookmarkEnd w:id="2850"/>
    <w:bookmarkEnd w:id="2851"/>
    <w:p>
      <w:pPr>
        <w:spacing w:line="400" w:lineRule="exact"/>
        <w:ind w:left="840" w:leftChars="300" w:hanging="210" w:hangingChars="100"/>
        <w:rPr>
          <w:rFonts w:ascii="宋体" w:hAnsi="宋体"/>
          <w:color w:val="auto"/>
          <w:szCs w:val="21"/>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pStyle w:val="30"/>
        <w:outlineLvl w:val="9"/>
        <w:rPr>
          <w:color w:val="auto"/>
          <w:highlight w:val="none"/>
        </w:rPr>
      </w:pPr>
    </w:p>
    <w:p>
      <w:pPr>
        <w:rPr>
          <w:rFonts w:hint="eastAsia"/>
          <w:color w:val="auto"/>
          <w:highlight w:val="none"/>
        </w:rPr>
      </w:pPr>
      <w:bookmarkStart w:id="2852" w:name="_Toc11224"/>
      <w:bookmarkStart w:id="2853" w:name="_Toc426496240"/>
      <w:bookmarkStart w:id="2854" w:name="_Toc12593"/>
      <w:bookmarkStart w:id="2855" w:name="_Toc429598764"/>
      <w:bookmarkStart w:id="2856" w:name="_Toc2628"/>
      <w:bookmarkStart w:id="2857" w:name="_Toc935004941"/>
      <w:bookmarkStart w:id="2858" w:name="_Toc26425"/>
      <w:bookmarkStart w:id="2859" w:name="_Toc1837"/>
      <w:bookmarkStart w:id="2860" w:name="_Toc1911144365"/>
      <w:r>
        <w:rPr>
          <w:rFonts w:hint="eastAsia"/>
          <w:color w:val="auto"/>
          <w:highlight w:val="none"/>
        </w:rPr>
        <w:br w:type="page"/>
      </w:r>
    </w:p>
    <w:p>
      <w:pPr>
        <w:pStyle w:val="20"/>
        <w:jc w:val="center"/>
        <w:outlineLvl w:val="2"/>
        <w:rPr>
          <w:color w:val="auto"/>
          <w:highlight w:val="none"/>
        </w:rPr>
      </w:pPr>
      <w:bookmarkStart w:id="2861" w:name="_Toc24845"/>
      <w:r>
        <w:rPr>
          <w:rFonts w:hint="eastAsia"/>
          <w:color w:val="auto"/>
          <w:highlight w:val="none"/>
        </w:rPr>
        <w:t>四、</w:t>
      </w:r>
      <w:bookmarkEnd w:id="2852"/>
      <w:bookmarkEnd w:id="2853"/>
      <w:bookmarkEnd w:id="2854"/>
      <w:bookmarkEnd w:id="2855"/>
      <w:bookmarkEnd w:id="2856"/>
      <w:bookmarkEnd w:id="2857"/>
      <w:bookmarkEnd w:id="2858"/>
      <w:bookmarkEnd w:id="2859"/>
      <w:r>
        <w:rPr>
          <w:rFonts w:hint="eastAsia"/>
          <w:color w:val="auto"/>
          <w:highlight w:val="none"/>
        </w:rPr>
        <w:t>联合体协议书</w:t>
      </w:r>
      <w:bookmarkEnd w:id="2860"/>
      <w:bookmarkEnd w:id="2861"/>
    </w:p>
    <w:p>
      <w:pPr>
        <w:spacing w:line="400" w:lineRule="exact"/>
        <w:rPr>
          <w:color w:val="auto"/>
          <w:szCs w:val="21"/>
          <w:highlight w:val="none"/>
        </w:rPr>
      </w:pPr>
    </w:p>
    <w:p>
      <w:pPr>
        <w:topLinePunct/>
        <w:spacing w:line="440" w:lineRule="exact"/>
        <w:ind w:firstLine="420" w:firstLineChars="200"/>
        <w:rPr>
          <w:color w:val="auto"/>
          <w:szCs w:val="21"/>
          <w:highlight w:val="none"/>
        </w:rPr>
      </w:pPr>
      <w:r>
        <w:rPr>
          <w:color w:val="auto"/>
          <w:szCs w:val="21"/>
          <w:highlight w:val="none"/>
          <w:u w:val="single"/>
        </w:rPr>
        <w:t>（所有成员单位名称）</w:t>
      </w:r>
      <w:r>
        <w:rPr>
          <w:color w:val="auto"/>
          <w:szCs w:val="21"/>
          <w:highlight w:val="none"/>
        </w:rPr>
        <w:t>自愿组成</w:t>
      </w:r>
      <w:r>
        <w:rPr>
          <w:rFonts w:hint="eastAsia"/>
          <w:color w:val="auto"/>
          <w:szCs w:val="21"/>
          <w:highlight w:val="none"/>
        </w:rPr>
        <w:t>联合体</w:t>
      </w:r>
      <w:r>
        <w:rPr>
          <w:color w:val="auto"/>
          <w:szCs w:val="21"/>
          <w:highlight w:val="none"/>
        </w:rPr>
        <w:t>，共同参加</w:t>
      </w:r>
      <w:r>
        <w:rPr>
          <w:rFonts w:hint="eastAsia"/>
          <w:color w:val="auto"/>
          <w:szCs w:val="21"/>
          <w:highlight w:val="none"/>
          <w:lang w:val="en-US" w:eastAsia="zh-CN"/>
        </w:rPr>
        <w:t xml:space="preserve"> </w:t>
      </w:r>
      <w:r>
        <w:rPr>
          <w:rFonts w:hint="eastAsia"/>
          <w:color w:val="auto"/>
          <w:szCs w:val="21"/>
          <w:highlight w:val="none"/>
          <w:u w:val="single"/>
          <w:lang w:val="en-US" w:eastAsia="zh-CN"/>
        </w:rPr>
        <w:t xml:space="preserve">       </w:t>
      </w:r>
      <w:r>
        <w:rPr>
          <w:color w:val="auto"/>
          <w:szCs w:val="21"/>
          <w:highlight w:val="none"/>
          <w:u w:val="none"/>
        </w:rPr>
        <w:t>（项目名称）</w:t>
      </w:r>
      <w:r>
        <w:rPr>
          <w:rFonts w:hint="eastAsia" w:ascii="宋体" w:hAnsi="宋体"/>
          <w:color w:val="auto"/>
          <w:highlight w:val="none"/>
          <w:u w:val="single"/>
          <w:lang w:val="en-US" w:eastAsia="zh-CN"/>
        </w:rPr>
        <w:t xml:space="preserve">          </w:t>
      </w:r>
      <w:r>
        <w:rPr>
          <w:rFonts w:hint="eastAsia" w:ascii="宋体" w:hAnsi="宋体"/>
          <w:color w:val="auto"/>
          <w:highlight w:val="none"/>
          <w:u w:val="none"/>
          <w:lang w:val="en-US" w:eastAsia="zh-CN"/>
        </w:rPr>
        <w:t>（</w:t>
      </w:r>
      <w:r>
        <w:rPr>
          <w:rFonts w:hint="eastAsia" w:ascii="宋体" w:hAnsi="宋体"/>
          <w:color w:val="auto"/>
          <w:highlight w:val="none"/>
          <w:u w:val="none"/>
        </w:rPr>
        <w:t>标段名称）</w:t>
      </w:r>
      <w:r>
        <w:rPr>
          <w:color w:val="auto"/>
          <w:szCs w:val="21"/>
          <w:highlight w:val="none"/>
        </w:rPr>
        <w:t>施工投标。现就联合体投标事宜订立如下协议。</w:t>
      </w:r>
    </w:p>
    <w:p>
      <w:pPr>
        <w:topLinePunct/>
        <w:spacing w:line="440" w:lineRule="exact"/>
        <w:ind w:firstLine="420" w:firstLineChars="200"/>
        <w:rPr>
          <w:color w:val="auto"/>
          <w:szCs w:val="21"/>
          <w:highlight w:val="none"/>
        </w:rPr>
      </w:pPr>
      <w:r>
        <w:rPr>
          <w:color w:val="auto"/>
          <w:szCs w:val="21"/>
          <w:highlight w:val="none"/>
        </w:rPr>
        <w:t>1、</w:t>
      </w:r>
      <w:r>
        <w:rPr>
          <w:color w:val="auto"/>
          <w:szCs w:val="21"/>
          <w:highlight w:val="none"/>
          <w:u w:val="single"/>
        </w:rPr>
        <w:t>（某成员单位名称）</w:t>
      </w:r>
      <w:r>
        <w:rPr>
          <w:color w:val="auto"/>
          <w:szCs w:val="21"/>
          <w:highlight w:val="none"/>
        </w:rPr>
        <w:t>为</w:t>
      </w:r>
      <w:r>
        <w:rPr>
          <w:color w:val="auto"/>
          <w:szCs w:val="21"/>
          <w:highlight w:val="none"/>
          <w:u w:val="single"/>
        </w:rPr>
        <w:t>（联合体名称）</w:t>
      </w:r>
      <w:r>
        <w:rPr>
          <w:color w:val="auto"/>
          <w:szCs w:val="21"/>
          <w:highlight w:val="none"/>
        </w:rPr>
        <w:t>牵头人。</w:t>
      </w:r>
    </w:p>
    <w:p>
      <w:pPr>
        <w:topLinePunct/>
        <w:spacing w:line="440" w:lineRule="exact"/>
        <w:ind w:firstLine="420" w:firstLineChars="200"/>
        <w:rPr>
          <w:color w:val="auto"/>
          <w:szCs w:val="21"/>
          <w:highlight w:val="none"/>
        </w:rPr>
      </w:pPr>
      <w:r>
        <w:rPr>
          <w:color w:val="auto"/>
          <w:szCs w:val="21"/>
          <w:highlight w:val="none"/>
        </w:rPr>
        <w:t>2、联合体牵头人</w:t>
      </w:r>
      <w:r>
        <w:rPr>
          <w:rFonts w:hint="eastAsia"/>
          <w:color w:val="auto"/>
          <w:szCs w:val="21"/>
          <w:highlight w:val="none"/>
        </w:rPr>
        <w:t>合法代表联合体各成员负责本招标项目投标文件编制和合同谈判活动，并代表联合体提交和接收相关的资料、信息及指示，并处理与之有关的一切事务，</w:t>
      </w:r>
      <w:r>
        <w:rPr>
          <w:color w:val="auto"/>
          <w:szCs w:val="21"/>
          <w:highlight w:val="none"/>
        </w:rPr>
        <w:t>负责合同实施阶段的主办、组织和协调工作。</w:t>
      </w:r>
    </w:p>
    <w:p>
      <w:pPr>
        <w:topLinePunct/>
        <w:spacing w:line="440" w:lineRule="exact"/>
        <w:ind w:firstLine="420" w:firstLineChars="200"/>
        <w:rPr>
          <w:color w:val="auto"/>
          <w:szCs w:val="21"/>
          <w:highlight w:val="none"/>
        </w:rPr>
      </w:pPr>
      <w:r>
        <w:rPr>
          <w:color w:val="auto"/>
          <w:szCs w:val="21"/>
          <w:highlight w:val="none"/>
        </w:rPr>
        <w:t>3、联合体将严格按照招标文件的各项要求，递交投标文件，履行合同，并对外承担连带责任。</w:t>
      </w:r>
    </w:p>
    <w:p>
      <w:pPr>
        <w:topLinePunct/>
        <w:spacing w:line="440" w:lineRule="exact"/>
        <w:ind w:firstLine="420" w:firstLineChars="200"/>
        <w:rPr>
          <w:color w:val="auto"/>
          <w:szCs w:val="21"/>
          <w:highlight w:val="none"/>
        </w:rPr>
      </w:pPr>
      <w:r>
        <w:rPr>
          <w:color w:val="auto"/>
          <w:szCs w:val="21"/>
          <w:highlight w:val="none"/>
        </w:rPr>
        <w:t>4、联合体各成员单位内部的职责分工如下：</w:t>
      </w:r>
      <w:r>
        <w:rPr>
          <w:rFonts w:ascii="宋体" w:hAnsi="宋体"/>
          <w:color w:val="auto"/>
          <w:szCs w:val="21"/>
          <w:highlight w:val="none"/>
          <w:u w:val="single"/>
        </w:rPr>
        <w:tab/>
      </w:r>
      <w:r>
        <w:rPr>
          <w:rFonts w:ascii="宋体" w:hAnsi="宋体"/>
          <w:color w:val="auto"/>
          <w:szCs w:val="21"/>
          <w:highlight w:val="none"/>
          <w:u w:val="single"/>
        </w:rPr>
        <w:tab/>
      </w:r>
      <w:r>
        <w:rPr>
          <w:color w:val="auto"/>
          <w:szCs w:val="21"/>
          <w:highlight w:val="none"/>
        </w:rPr>
        <w:t xml:space="preserve"> 。</w:t>
      </w:r>
    </w:p>
    <w:p>
      <w:pPr>
        <w:topLinePunct/>
        <w:spacing w:line="440" w:lineRule="exact"/>
        <w:ind w:firstLine="420" w:firstLineChars="200"/>
        <w:rPr>
          <w:color w:val="auto"/>
          <w:szCs w:val="21"/>
          <w:highlight w:val="none"/>
        </w:rPr>
      </w:pPr>
      <w:r>
        <w:rPr>
          <w:color w:val="auto"/>
          <w:szCs w:val="21"/>
          <w:highlight w:val="none"/>
        </w:rPr>
        <w:t xml:space="preserve">5、本协议书自签署之日起生效，合同履行完毕后自动失效。 </w:t>
      </w:r>
    </w:p>
    <w:p>
      <w:pPr>
        <w:topLinePunct/>
        <w:spacing w:line="440" w:lineRule="exact"/>
        <w:ind w:firstLine="420" w:firstLineChars="200"/>
        <w:rPr>
          <w:color w:val="auto"/>
          <w:szCs w:val="21"/>
          <w:highlight w:val="none"/>
        </w:rPr>
      </w:pPr>
      <w:r>
        <w:rPr>
          <w:color w:val="auto"/>
          <w:szCs w:val="21"/>
          <w:highlight w:val="none"/>
        </w:rPr>
        <w:t>6、本协议书一式份，联合体成员和招标人各执一份。</w:t>
      </w:r>
    </w:p>
    <w:p>
      <w:pPr>
        <w:topLinePunct/>
        <w:spacing w:line="440" w:lineRule="exact"/>
        <w:rPr>
          <w:color w:val="auto"/>
          <w:szCs w:val="21"/>
          <w:highlight w:val="none"/>
        </w:rPr>
      </w:pPr>
    </w:p>
    <w:p>
      <w:pPr>
        <w:topLinePunct/>
        <w:spacing w:line="440" w:lineRule="exact"/>
        <w:rPr>
          <w:color w:val="auto"/>
          <w:szCs w:val="21"/>
          <w:highlight w:val="none"/>
        </w:rPr>
      </w:pPr>
    </w:p>
    <w:p>
      <w:pPr>
        <w:topLinePunct/>
        <w:spacing w:line="440" w:lineRule="exact"/>
        <w:jc w:val="right"/>
        <w:rPr>
          <w:color w:val="auto"/>
          <w:szCs w:val="21"/>
          <w:highlight w:val="none"/>
        </w:rPr>
      </w:pPr>
      <w:r>
        <w:rPr>
          <w:color w:val="auto"/>
          <w:szCs w:val="21"/>
          <w:highlight w:val="none"/>
        </w:rPr>
        <w:t>牵头人名称：（盖单位章）</w:t>
      </w:r>
    </w:p>
    <w:p>
      <w:pPr>
        <w:topLinePunct/>
        <w:spacing w:line="440" w:lineRule="exact"/>
        <w:jc w:val="right"/>
        <w:rPr>
          <w:color w:val="auto"/>
          <w:szCs w:val="21"/>
          <w:highlight w:val="none"/>
        </w:rPr>
      </w:pPr>
      <w:r>
        <w:rPr>
          <w:color w:val="auto"/>
          <w:szCs w:val="21"/>
          <w:highlight w:val="none"/>
        </w:rPr>
        <w:t>法定代表人或其委托代理人：（签字）</w:t>
      </w:r>
    </w:p>
    <w:p>
      <w:pPr>
        <w:topLinePunct/>
        <w:spacing w:line="440" w:lineRule="exact"/>
        <w:jc w:val="right"/>
        <w:rPr>
          <w:color w:val="auto"/>
          <w:szCs w:val="21"/>
          <w:highlight w:val="none"/>
        </w:rPr>
      </w:pPr>
    </w:p>
    <w:p>
      <w:pPr>
        <w:topLinePunct/>
        <w:spacing w:line="440" w:lineRule="exact"/>
        <w:jc w:val="right"/>
        <w:rPr>
          <w:color w:val="auto"/>
          <w:szCs w:val="21"/>
          <w:highlight w:val="none"/>
        </w:rPr>
      </w:pPr>
      <w:r>
        <w:rPr>
          <w:color w:val="auto"/>
          <w:szCs w:val="21"/>
          <w:highlight w:val="none"/>
        </w:rPr>
        <w:t>成员一名称：（盖单位章）</w:t>
      </w:r>
    </w:p>
    <w:p>
      <w:pPr>
        <w:topLinePunct/>
        <w:spacing w:line="440" w:lineRule="exact"/>
        <w:jc w:val="right"/>
        <w:rPr>
          <w:color w:val="auto"/>
          <w:szCs w:val="21"/>
          <w:highlight w:val="none"/>
        </w:rPr>
      </w:pPr>
      <w:r>
        <w:rPr>
          <w:color w:val="auto"/>
          <w:szCs w:val="21"/>
          <w:highlight w:val="none"/>
        </w:rPr>
        <w:t>法定代表人或其委托代理人：（签字）</w:t>
      </w:r>
    </w:p>
    <w:p>
      <w:pPr>
        <w:topLinePunct/>
        <w:spacing w:line="440" w:lineRule="exact"/>
        <w:jc w:val="right"/>
        <w:rPr>
          <w:color w:val="auto"/>
          <w:szCs w:val="21"/>
          <w:highlight w:val="none"/>
        </w:rPr>
      </w:pPr>
    </w:p>
    <w:p>
      <w:pPr>
        <w:topLinePunct/>
        <w:spacing w:line="440" w:lineRule="exact"/>
        <w:jc w:val="right"/>
        <w:rPr>
          <w:color w:val="auto"/>
          <w:szCs w:val="21"/>
          <w:highlight w:val="none"/>
        </w:rPr>
      </w:pPr>
      <w:r>
        <w:rPr>
          <w:color w:val="auto"/>
          <w:szCs w:val="21"/>
          <w:highlight w:val="none"/>
        </w:rPr>
        <w:t>成员二名称：（盖单位章）</w:t>
      </w:r>
    </w:p>
    <w:p>
      <w:pPr>
        <w:topLinePunct/>
        <w:spacing w:line="440" w:lineRule="exact"/>
        <w:jc w:val="right"/>
        <w:rPr>
          <w:color w:val="auto"/>
          <w:szCs w:val="21"/>
          <w:highlight w:val="none"/>
        </w:rPr>
      </w:pPr>
      <w:r>
        <w:rPr>
          <w:color w:val="auto"/>
          <w:szCs w:val="21"/>
          <w:highlight w:val="none"/>
        </w:rPr>
        <w:t>法定代表人或其委托代理人：（签字）</w:t>
      </w:r>
    </w:p>
    <w:p>
      <w:pPr>
        <w:topLinePunct/>
        <w:spacing w:line="440" w:lineRule="exact"/>
        <w:jc w:val="right"/>
        <w:rPr>
          <w:color w:val="auto"/>
          <w:szCs w:val="21"/>
          <w:highlight w:val="none"/>
        </w:rPr>
      </w:pPr>
      <w:r>
        <w:rPr>
          <w:color w:val="auto"/>
          <w:szCs w:val="21"/>
          <w:highlight w:val="none"/>
        </w:rPr>
        <w:t xml:space="preserve">…… </w:t>
      </w:r>
    </w:p>
    <w:p>
      <w:pPr>
        <w:topLinePunct/>
        <w:spacing w:line="440" w:lineRule="exact"/>
        <w:rPr>
          <w:color w:val="auto"/>
          <w:szCs w:val="21"/>
          <w:highlight w:val="none"/>
        </w:rPr>
      </w:pPr>
    </w:p>
    <w:p>
      <w:pPr>
        <w:ind w:firstLine="2879" w:firstLineChars="1371"/>
        <w:jc w:val="right"/>
        <w:rPr>
          <w:color w:val="auto"/>
          <w:highlight w:val="none"/>
        </w:rPr>
      </w:pPr>
      <w:r>
        <w:rPr>
          <w:color w:val="auto"/>
          <w:highlight w:val="none"/>
        </w:rPr>
        <w:t>年月日</w:t>
      </w:r>
    </w:p>
    <w:p>
      <w:pPr>
        <w:spacing w:line="440" w:lineRule="exact"/>
        <w:jc w:val="center"/>
        <w:rPr>
          <w:rFonts w:eastAsia="黑体"/>
          <w:color w:val="auto"/>
          <w:sz w:val="20"/>
          <w:szCs w:val="20"/>
          <w:highlight w:val="none"/>
        </w:rPr>
      </w:pPr>
    </w:p>
    <w:p>
      <w:pPr>
        <w:spacing w:line="440" w:lineRule="exact"/>
        <w:jc w:val="center"/>
        <w:rPr>
          <w:rFonts w:eastAsia="黑体"/>
          <w:color w:val="auto"/>
          <w:sz w:val="20"/>
          <w:szCs w:val="20"/>
          <w:highlight w:val="none"/>
        </w:rPr>
      </w:pPr>
    </w:p>
    <w:p>
      <w:pPr>
        <w:spacing w:line="400" w:lineRule="exact"/>
        <w:rPr>
          <w:rFonts w:ascii="宋体" w:hAnsi="宋体"/>
          <w:color w:val="auto"/>
          <w:szCs w:val="21"/>
          <w:highlight w:val="none"/>
        </w:rPr>
      </w:pPr>
      <w:r>
        <w:rPr>
          <w:rFonts w:hint="eastAsia" w:ascii="宋体" w:hAnsi="宋体"/>
          <w:color w:val="auto"/>
          <w:szCs w:val="21"/>
          <w:highlight w:val="none"/>
        </w:rPr>
        <w:t>备注：</w:t>
      </w:r>
      <w:r>
        <w:rPr>
          <w:rFonts w:hint="eastAsia"/>
          <w:color w:val="auto"/>
          <w:szCs w:val="21"/>
          <w:highlight w:val="none"/>
        </w:rPr>
        <w:t>1</w:t>
      </w:r>
      <w:r>
        <w:rPr>
          <w:rFonts w:hint="eastAsia" w:ascii="宋体" w:hAnsi="宋体"/>
          <w:color w:val="auto"/>
          <w:szCs w:val="21"/>
          <w:highlight w:val="none"/>
        </w:rPr>
        <w:t>.本协议书由委托代理人签字的，应附法定代表人签字的授权委托书。</w:t>
      </w:r>
    </w:p>
    <w:p>
      <w:pPr>
        <w:numPr>
          <w:ilvl w:val="0"/>
          <w:numId w:val="6"/>
        </w:numPr>
        <w:spacing w:line="400" w:lineRule="exact"/>
        <w:ind w:left="840" w:leftChars="300" w:hanging="210" w:hangingChars="100"/>
        <w:rPr>
          <w:rFonts w:ascii="宋体" w:hAnsi="宋体"/>
          <w:bCs/>
          <w:color w:val="auto"/>
          <w:szCs w:val="21"/>
          <w:highlight w:val="none"/>
        </w:rPr>
      </w:pPr>
      <w:r>
        <w:rPr>
          <w:rFonts w:hint="eastAsia" w:ascii="宋体" w:hAnsi="宋体"/>
          <w:color w:val="auto"/>
          <w:szCs w:val="21"/>
          <w:highlight w:val="none"/>
        </w:rPr>
        <w:t>招标文件接受联合体投标，且投标人采用联合体投标的，</w:t>
      </w:r>
      <w:r>
        <w:rPr>
          <w:rFonts w:hint="eastAsia" w:ascii="宋体" w:hAnsi="宋体"/>
          <w:bCs/>
          <w:color w:val="auto"/>
          <w:szCs w:val="21"/>
          <w:highlight w:val="none"/>
        </w:rPr>
        <w:t>投标文件应按招标文件要求及联合体协议书分工提供相应的评审资料；未采用联合体投标的，投标文件不需要提供联合体协议书，也无须盖单位章和签字。</w:t>
      </w:r>
    </w:p>
    <w:p>
      <w:pPr>
        <w:spacing w:line="394" w:lineRule="exact"/>
        <w:ind w:left="840" w:leftChars="300" w:hanging="210" w:hangingChars="100"/>
        <w:rPr>
          <w:rFonts w:ascii="宋体" w:hAnsi="宋体"/>
          <w:color w:val="auto"/>
          <w:szCs w:val="21"/>
          <w:highlight w:val="none"/>
        </w:rPr>
      </w:pPr>
    </w:p>
    <w:p>
      <w:pPr>
        <w:rPr>
          <w:rFonts w:hint="eastAsia"/>
          <w:color w:val="auto"/>
          <w:highlight w:val="none"/>
        </w:rPr>
      </w:pPr>
      <w:bookmarkStart w:id="2862" w:name="_Toc28532429"/>
      <w:bookmarkStart w:id="2863" w:name="_Toc1022383649"/>
      <w:r>
        <w:rPr>
          <w:rFonts w:hint="eastAsia"/>
          <w:color w:val="auto"/>
          <w:highlight w:val="none"/>
        </w:rPr>
        <w:br w:type="page"/>
      </w:r>
    </w:p>
    <w:p>
      <w:pPr>
        <w:pStyle w:val="20"/>
        <w:jc w:val="center"/>
        <w:outlineLvl w:val="2"/>
        <w:rPr>
          <w:color w:val="auto"/>
          <w:highlight w:val="none"/>
        </w:rPr>
      </w:pPr>
      <w:bookmarkStart w:id="2864" w:name="_Toc18266"/>
      <w:r>
        <w:rPr>
          <w:rFonts w:hint="eastAsia"/>
          <w:color w:val="auto"/>
          <w:highlight w:val="none"/>
        </w:rPr>
        <w:t>五、拟分包</w:t>
      </w:r>
      <w:bookmarkEnd w:id="2862"/>
      <w:r>
        <w:rPr>
          <w:rFonts w:hint="eastAsia"/>
          <w:color w:val="auto"/>
          <w:highlight w:val="none"/>
        </w:rPr>
        <w:t>项目情况表</w:t>
      </w:r>
      <w:bookmarkEnd w:id="2863"/>
      <w:bookmarkEnd w:id="2864"/>
    </w:p>
    <w:p>
      <w:pPr>
        <w:spacing w:line="440" w:lineRule="exact"/>
        <w:ind w:right="420"/>
        <w:rPr>
          <w:rFonts w:ascii="黑体" w:hAnsi="宋体"/>
          <w:color w:val="auto"/>
          <w:szCs w:val="28"/>
          <w:highlight w:val="none"/>
        </w:rPr>
      </w:pPr>
    </w:p>
    <w:tbl>
      <w:tblPr>
        <w:tblStyle w:val="28"/>
        <w:tblW w:w="8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843"/>
        <w:gridCol w:w="751"/>
        <w:gridCol w:w="950"/>
        <w:gridCol w:w="1123"/>
        <w:gridCol w:w="1090"/>
        <w:gridCol w:w="1197"/>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rFonts w:ascii="宋体" w:hAnsi="宋体"/>
                <w:color w:val="auto"/>
                <w:szCs w:val="21"/>
                <w:highlight w:val="none"/>
              </w:rPr>
            </w:pPr>
            <w:r>
              <w:rPr>
                <w:rFonts w:hint="eastAsia" w:ascii="宋体" w:hAnsi="宋体"/>
                <w:color w:val="auto"/>
                <w:szCs w:val="21"/>
                <w:highlight w:val="none"/>
              </w:rPr>
              <w:t>序</w:t>
            </w:r>
          </w:p>
          <w:p>
            <w:pPr>
              <w:jc w:val="center"/>
              <w:rPr>
                <w:rFonts w:ascii="宋体" w:hAnsi="宋体"/>
                <w:color w:val="auto"/>
                <w:szCs w:val="21"/>
                <w:highlight w:val="none"/>
              </w:rPr>
            </w:pPr>
            <w:r>
              <w:rPr>
                <w:rFonts w:hint="eastAsia" w:ascii="宋体" w:hAnsi="宋体"/>
                <w:color w:val="auto"/>
                <w:szCs w:val="21"/>
                <w:highlight w:val="none"/>
              </w:rPr>
              <w:t>号</w:t>
            </w:r>
          </w:p>
        </w:tc>
        <w:tc>
          <w:tcPr>
            <w:tcW w:w="1843" w:type="dxa"/>
            <w:vMerge w:val="restart"/>
            <w:tcMar>
              <w:left w:w="108" w:type="dxa"/>
              <w:right w:w="108" w:type="dxa"/>
            </w:tcMar>
            <w:vAlign w:val="center"/>
          </w:tcPr>
          <w:p>
            <w:pPr>
              <w:jc w:val="center"/>
              <w:rPr>
                <w:rFonts w:ascii="宋体" w:hAnsi="宋体"/>
                <w:color w:val="auto"/>
                <w:szCs w:val="21"/>
                <w:highlight w:val="none"/>
              </w:rPr>
            </w:pPr>
            <w:r>
              <w:rPr>
                <w:rFonts w:hint="eastAsia" w:ascii="宋体" w:hAnsi="宋体"/>
                <w:color w:val="auto"/>
                <w:szCs w:val="21"/>
                <w:highlight w:val="none"/>
              </w:rPr>
              <w:t>拟分包项目名称、范围及理由</w:t>
            </w:r>
          </w:p>
        </w:tc>
        <w:tc>
          <w:tcPr>
            <w:tcW w:w="5111" w:type="dxa"/>
            <w:gridSpan w:val="5"/>
            <w:tcMar>
              <w:left w:w="108" w:type="dxa"/>
              <w:right w:w="108" w:type="dxa"/>
            </w:tcMar>
            <w:vAlign w:val="center"/>
          </w:tcPr>
          <w:p>
            <w:pPr>
              <w:jc w:val="center"/>
              <w:rPr>
                <w:rFonts w:ascii="宋体" w:hAnsi="宋体"/>
                <w:color w:val="auto"/>
                <w:szCs w:val="21"/>
                <w:highlight w:val="none"/>
              </w:rPr>
            </w:pPr>
            <w:r>
              <w:rPr>
                <w:rFonts w:hint="eastAsia" w:ascii="宋体" w:hAnsi="宋体"/>
                <w:color w:val="auto"/>
                <w:szCs w:val="21"/>
                <w:highlight w:val="none"/>
              </w:rPr>
              <w:t>拟选分包人</w:t>
            </w:r>
          </w:p>
        </w:tc>
        <w:tc>
          <w:tcPr>
            <w:tcW w:w="983" w:type="dxa"/>
            <w:vMerge w:val="restart"/>
            <w:tcMar>
              <w:left w:w="108" w:type="dxa"/>
              <w:right w:w="108" w:type="dxa"/>
            </w:tcMar>
            <w:vAlign w:val="center"/>
          </w:tcPr>
          <w:p>
            <w:pPr>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1701" w:type="dxa"/>
            <w:gridSpan w:val="2"/>
            <w:tcMar>
              <w:left w:w="108" w:type="dxa"/>
              <w:right w:w="108" w:type="dxa"/>
            </w:tcMar>
            <w:vAlign w:val="center"/>
          </w:tcPr>
          <w:p>
            <w:pPr>
              <w:jc w:val="center"/>
              <w:rPr>
                <w:rFonts w:ascii="宋体" w:hAnsi="宋体"/>
                <w:color w:val="auto"/>
                <w:szCs w:val="21"/>
                <w:highlight w:val="none"/>
              </w:rPr>
            </w:pPr>
            <w:r>
              <w:rPr>
                <w:rFonts w:hint="eastAsia" w:ascii="宋体" w:hAnsi="宋体"/>
                <w:color w:val="auto"/>
                <w:szCs w:val="21"/>
                <w:highlight w:val="none"/>
              </w:rPr>
              <w:t>拟选分包人名称</w:t>
            </w:r>
          </w:p>
        </w:tc>
        <w:tc>
          <w:tcPr>
            <w:tcW w:w="1123" w:type="dxa"/>
            <w:tcMar>
              <w:left w:w="108" w:type="dxa"/>
              <w:right w:w="108" w:type="dxa"/>
            </w:tcMar>
            <w:vAlign w:val="center"/>
          </w:tcPr>
          <w:p>
            <w:pPr>
              <w:jc w:val="center"/>
              <w:rPr>
                <w:rFonts w:ascii="宋体" w:hAnsi="宋体"/>
                <w:color w:val="auto"/>
                <w:szCs w:val="21"/>
                <w:highlight w:val="none"/>
              </w:rPr>
            </w:pPr>
            <w:r>
              <w:rPr>
                <w:rFonts w:hint="eastAsia" w:ascii="宋体" w:hAnsi="宋体"/>
                <w:color w:val="auto"/>
                <w:szCs w:val="21"/>
                <w:highlight w:val="none"/>
              </w:rPr>
              <w:t>注册地点</w:t>
            </w:r>
          </w:p>
        </w:tc>
        <w:tc>
          <w:tcPr>
            <w:tcW w:w="1090" w:type="dxa"/>
            <w:tcMar>
              <w:left w:w="108" w:type="dxa"/>
              <w:right w:w="108" w:type="dxa"/>
            </w:tcMar>
            <w:vAlign w:val="center"/>
          </w:tcPr>
          <w:p>
            <w:pPr>
              <w:jc w:val="center"/>
              <w:rPr>
                <w:rFonts w:ascii="宋体" w:hAnsi="宋体"/>
                <w:color w:val="auto"/>
                <w:szCs w:val="21"/>
                <w:highlight w:val="none"/>
              </w:rPr>
            </w:pPr>
            <w:r>
              <w:rPr>
                <w:rFonts w:hint="eastAsia" w:ascii="宋体" w:hAnsi="宋体"/>
                <w:color w:val="auto"/>
                <w:szCs w:val="21"/>
                <w:highlight w:val="none"/>
              </w:rPr>
              <w:t>企业资质</w:t>
            </w:r>
          </w:p>
        </w:tc>
        <w:tc>
          <w:tcPr>
            <w:tcW w:w="1197" w:type="dxa"/>
            <w:tcMar>
              <w:left w:w="108" w:type="dxa"/>
              <w:right w:w="108" w:type="dxa"/>
            </w:tcMar>
            <w:vAlign w:val="center"/>
          </w:tcPr>
          <w:p>
            <w:pPr>
              <w:jc w:val="center"/>
              <w:rPr>
                <w:rFonts w:ascii="宋体" w:hAnsi="宋体"/>
                <w:color w:val="auto"/>
                <w:szCs w:val="21"/>
                <w:highlight w:val="none"/>
              </w:rPr>
            </w:pPr>
            <w:r>
              <w:rPr>
                <w:rFonts w:hint="eastAsia" w:ascii="宋体" w:hAnsi="宋体"/>
                <w:color w:val="auto"/>
                <w:szCs w:val="21"/>
                <w:highlight w:val="none"/>
              </w:rPr>
              <w:t>有关业绩</w:t>
            </w:r>
          </w:p>
        </w:tc>
        <w:tc>
          <w:tcPr>
            <w:tcW w:w="983" w:type="dxa"/>
            <w:vMerge w:val="continue"/>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rFonts w:ascii="宋体" w:hAnsi="宋体"/>
                <w:color w:val="auto"/>
                <w:szCs w:val="21"/>
                <w:highlight w:val="none"/>
              </w:rPr>
            </w:pPr>
          </w:p>
        </w:tc>
        <w:tc>
          <w:tcPr>
            <w:tcW w:w="1843" w:type="dxa"/>
            <w:vMerge w:val="restart"/>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1</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2</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3</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rFonts w:ascii="宋体" w:hAnsi="宋体"/>
                <w:color w:val="auto"/>
                <w:szCs w:val="21"/>
                <w:highlight w:val="none"/>
              </w:rPr>
            </w:pPr>
          </w:p>
        </w:tc>
        <w:tc>
          <w:tcPr>
            <w:tcW w:w="1843" w:type="dxa"/>
            <w:vMerge w:val="restart"/>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1</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2</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3</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rFonts w:ascii="宋体" w:hAnsi="宋体"/>
                <w:color w:val="auto"/>
                <w:szCs w:val="21"/>
                <w:highlight w:val="none"/>
              </w:rPr>
            </w:pPr>
          </w:p>
        </w:tc>
        <w:tc>
          <w:tcPr>
            <w:tcW w:w="1843" w:type="dxa"/>
            <w:vMerge w:val="restart"/>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1</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2</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3</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rFonts w:ascii="宋体" w:hAnsi="宋体"/>
                <w:color w:val="auto"/>
                <w:szCs w:val="21"/>
                <w:highlight w:val="none"/>
              </w:rPr>
            </w:pPr>
          </w:p>
        </w:tc>
        <w:tc>
          <w:tcPr>
            <w:tcW w:w="1843" w:type="dxa"/>
            <w:vMerge w:val="restart"/>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1</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2</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rFonts w:ascii="宋体" w:hAnsi="宋体"/>
                <w:color w:val="auto"/>
                <w:szCs w:val="21"/>
                <w:highlight w:val="none"/>
              </w:rPr>
            </w:pPr>
          </w:p>
        </w:tc>
        <w:tc>
          <w:tcPr>
            <w:tcW w:w="1843" w:type="dxa"/>
            <w:vMerge w:val="continue"/>
            <w:tcMar>
              <w:left w:w="108" w:type="dxa"/>
              <w:right w:w="108" w:type="dxa"/>
            </w:tcMar>
            <w:vAlign w:val="center"/>
          </w:tcPr>
          <w:p>
            <w:pPr>
              <w:jc w:val="center"/>
              <w:rPr>
                <w:rFonts w:ascii="宋体" w:hAnsi="宋体"/>
                <w:color w:val="auto"/>
                <w:szCs w:val="21"/>
                <w:highlight w:val="none"/>
              </w:rPr>
            </w:pPr>
          </w:p>
        </w:tc>
        <w:tc>
          <w:tcPr>
            <w:tcW w:w="751" w:type="dxa"/>
            <w:tcMar>
              <w:left w:w="108" w:type="dxa"/>
              <w:right w:w="108" w:type="dxa"/>
            </w:tcMar>
            <w:vAlign w:val="center"/>
          </w:tcPr>
          <w:p>
            <w:pPr>
              <w:jc w:val="center"/>
              <w:rPr>
                <w:rFonts w:ascii="黑体" w:hAnsi="宋体" w:eastAsia="黑体"/>
                <w:color w:val="auto"/>
                <w:szCs w:val="21"/>
                <w:highlight w:val="none"/>
              </w:rPr>
            </w:pPr>
            <w:r>
              <w:rPr>
                <w:rFonts w:hint="eastAsia" w:ascii="黑体" w:hAnsi="宋体" w:eastAsia="黑体"/>
                <w:color w:val="auto"/>
                <w:szCs w:val="21"/>
                <w:highlight w:val="none"/>
              </w:rPr>
              <w:t>3</w:t>
            </w:r>
          </w:p>
        </w:tc>
        <w:tc>
          <w:tcPr>
            <w:tcW w:w="950" w:type="dxa"/>
            <w:tcMar>
              <w:left w:w="108" w:type="dxa"/>
              <w:right w:w="108" w:type="dxa"/>
            </w:tcMar>
            <w:vAlign w:val="center"/>
          </w:tcPr>
          <w:p>
            <w:pPr>
              <w:jc w:val="center"/>
              <w:rPr>
                <w:rFonts w:ascii="宋体" w:hAnsi="宋体"/>
                <w:color w:val="auto"/>
                <w:szCs w:val="21"/>
                <w:highlight w:val="none"/>
              </w:rPr>
            </w:pPr>
          </w:p>
        </w:tc>
        <w:tc>
          <w:tcPr>
            <w:tcW w:w="1123" w:type="dxa"/>
            <w:tcMar>
              <w:left w:w="108" w:type="dxa"/>
              <w:right w:w="108" w:type="dxa"/>
            </w:tcMar>
            <w:vAlign w:val="center"/>
          </w:tcPr>
          <w:p>
            <w:pPr>
              <w:jc w:val="center"/>
              <w:rPr>
                <w:rFonts w:ascii="宋体" w:hAnsi="宋体"/>
                <w:color w:val="auto"/>
                <w:szCs w:val="21"/>
                <w:highlight w:val="none"/>
              </w:rPr>
            </w:pPr>
          </w:p>
        </w:tc>
        <w:tc>
          <w:tcPr>
            <w:tcW w:w="1090" w:type="dxa"/>
            <w:tcMar>
              <w:left w:w="108" w:type="dxa"/>
              <w:right w:w="108" w:type="dxa"/>
            </w:tcMar>
            <w:vAlign w:val="center"/>
          </w:tcPr>
          <w:p>
            <w:pPr>
              <w:jc w:val="center"/>
              <w:rPr>
                <w:rFonts w:ascii="宋体" w:hAnsi="宋体"/>
                <w:color w:val="auto"/>
                <w:szCs w:val="21"/>
                <w:highlight w:val="none"/>
              </w:rPr>
            </w:pPr>
          </w:p>
        </w:tc>
        <w:tc>
          <w:tcPr>
            <w:tcW w:w="1197" w:type="dxa"/>
            <w:tcMar>
              <w:left w:w="108" w:type="dxa"/>
              <w:right w:w="108" w:type="dxa"/>
            </w:tcMar>
            <w:vAlign w:val="center"/>
          </w:tcPr>
          <w:p>
            <w:pPr>
              <w:jc w:val="center"/>
              <w:rPr>
                <w:rFonts w:ascii="宋体" w:hAnsi="宋体"/>
                <w:color w:val="auto"/>
                <w:szCs w:val="21"/>
                <w:highlight w:val="none"/>
              </w:rPr>
            </w:pPr>
          </w:p>
        </w:tc>
        <w:tc>
          <w:tcPr>
            <w:tcW w:w="983" w:type="dxa"/>
            <w:tcMar>
              <w:left w:w="108" w:type="dxa"/>
              <w:right w:w="108" w:type="dxa"/>
            </w:tcMar>
            <w:vAlign w:val="center"/>
          </w:tcPr>
          <w:p>
            <w:pPr>
              <w:jc w:val="center"/>
              <w:rPr>
                <w:rFonts w:ascii="宋体" w:hAnsi="宋体"/>
                <w:color w:val="auto"/>
                <w:szCs w:val="21"/>
                <w:highlight w:val="none"/>
              </w:rPr>
            </w:pPr>
          </w:p>
        </w:tc>
      </w:tr>
    </w:tbl>
    <w:p>
      <w:pPr>
        <w:spacing w:line="440" w:lineRule="exact"/>
        <w:ind w:right="420"/>
        <w:rPr>
          <w:rFonts w:ascii="黑体" w:hAnsi="宋体" w:eastAsia="黑体"/>
          <w:color w:val="auto"/>
          <w:szCs w:val="21"/>
          <w:highlight w:val="none"/>
        </w:rPr>
      </w:pPr>
    </w:p>
    <w:p>
      <w:pPr>
        <w:spacing w:line="440" w:lineRule="exact"/>
        <w:ind w:right="420"/>
        <w:rPr>
          <w:rFonts w:ascii="宋体" w:hAnsi="宋体"/>
          <w:color w:val="auto"/>
          <w:szCs w:val="21"/>
          <w:highlight w:val="none"/>
        </w:rPr>
      </w:pPr>
    </w:p>
    <w:p>
      <w:pPr>
        <w:wordWrap w:val="0"/>
        <w:spacing w:line="440" w:lineRule="exact"/>
        <w:ind w:right="420"/>
        <w:jc w:val="right"/>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年</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月</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日  </w:t>
      </w:r>
    </w:p>
    <w:p>
      <w:pPr>
        <w:spacing w:line="440" w:lineRule="exact"/>
        <w:ind w:right="420"/>
        <w:jc w:val="right"/>
        <w:rPr>
          <w:rFonts w:ascii="宋体" w:hAnsi="宋体"/>
          <w:color w:val="auto"/>
          <w:szCs w:val="21"/>
          <w:highlight w:val="none"/>
        </w:rPr>
      </w:pPr>
    </w:p>
    <w:p>
      <w:pPr>
        <w:spacing w:line="440" w:lineRule="exact"/>
        <w:ind w:left="630" w:right="420" w:hanging="630" w:hangingChars="300"/>
        <w:rPr>
          <w:rFonts w:ascii="宋体" w:hAnsi="宋体"/>
          <w:color w:val="auto"/>
          <w:szCs w:val="21"/>
          <w:highlight w:val="none"/>
        </w:rPr>
      </w:pPr>
      <w:r>
        <w:rPr>
          <w:rFonts w:hint="eastAsia" w:ascii="宋体" w:hAnsi="宋体"/>
          <w:color w:val="auto"/>
          <w:szCs w:val="21"/>
          <w:highlight w:val="none"/>
        </w:rPr>
        <w:t>备注：1.本表适用于非政府采购工程。</w:t>
      </w:r>
    </w:p>
    <w:p>
      <w:pPr>
        <w:spacing w:line="440" w:lineRule="exact"/>
        <w:ind w:left="630" w:leftChars="300" w:right="420"/>
        <w:rPr>
          <w:color w:val="auto"/>
          <w:highlight w:val="none"/>
        </w:rPr>
      </w:pPr>
      <w:r>
        <w:rPr>
          <w:rFonts w:hint="eastAsia" w:ascii="宋体" w:hAnsi="宋体"/>
          <w:color w:val="auto"/>
          <w:szCs w:val="21"/>
          <w:highlight w:val="none"/>
        </w:rPr>
        <w:t>2.本表所列分包仅限于承包人自行施工范围内的非主体、非关键工程。</w:t>
      </w:r>
    </w:p>
    <w:p>
      <w:pPr>
        <w:spacing w:line="440" w:lineRule="exact"/>
        <w:ind w:right="420"/>
        <w:jc w:val="left"/>
        <w:rPr>
          <w:rFonts w:ascii="宋体" w:hAnsi="宋体"/>
          <w:color w:val="auto"/>
          <w:szCs w:val="21"/>
          <w:highlight w:val="none"/>
        </w:rPr>
      </w:pPr>
    </w:p>
    <w:p>
      <w:pPr>
        <w:spacing w:line="440" w:lineRule="exact"/>
        <w:ind w:right="420"/>
        <w:jc w:val="right"/>
        <w:rPr>
          <w:rFonts w:ascii="宋体" w:hAnsi="宋体"/>
          <w:color w:val="auto"/>
          <w:szCs w:val="21"/>
          <w:highlight w:val="none"/>
        </w:rPr>
      </w:pPr>
    </w:p>
    <w:p>
      <w:pPr>
        <w:spacing w:line="440" w:lineRule="exact"/>
        <w:outlineLvl w:val="9"/>
        <w:rPr>
          <w:rFonts w:ascii="宋体" w:hAnsi="宋体"/>
          <w:color w:val="auto"/>
          <w:szCs w:val="21"/>
          <w:highlight w:val="none"/>
        </w:rPr>
      </w:pPr>
    </w:p>
    <w:p>
      <w:pPr>
        <w:spacing w:line="440" w:lineRule="exact"/>
        <w:outlineLvl w:val="9"/>
        <w:rPr>
          <w:rFonts w:ascii="宋体" w:hAnsi="宋体"/>
          <w:color w:val="auto"/>
          <w:szCs w:val="21"/>
          <w:highlight w:val="none"/>
        </w:rPr>
      </w:pPr>
    </w:p>
    <w:p>
      <w:pPr>
        <w:spacing w:line="440" w:lineRule="exact"/>
        <w:outlineLvl w:val="9"/>
        <w:rPr>
          <w:rFonts w:ascii="宋体" w:hAnsi="宋体"/>
          <w:color w:val="auto"/>
          <w:szCs w:val="21"/>
          <w:highlight w:val="none"/>
        </w:rPr>
      </w:pPr>
    </w:p>
    <w:p>
      <w:pPr>
        <w:pStyle w:val="30"/>
        <w:outlineLvl w:val="9"/>
        <w:rPr>
          <w:color w:val="auto"/>
          <w:highlight w:val="none"/>
        </w:rPr>
      </w:pPr>
    </w:p>
    <w:p>
      <w:pPr>
        <w:spacing w:line="360" w:lineRule="auto"/>
        <w:outlineLvl w:val="9"/>
        <w:rPr>
          <w:rFonts w:ascii="宋体" w:hAnsi="宋体" w:cs="宋体"/>
          <w:color w:val="auto"/>
          <w:highlight w:val="none"/>
        </w:rPr>
      </w:pPr>
    </w:p>
    <w:p>
      <w:pPr>
        <w:spacing w:line="360" w:lineRule="auto"/>
        <w:outlineLvl w:val="9"/>
        <w:rPr>
          <w:rFonts w:ascii="宋体" w:hAnsi="宋体" w:cs="宋体"/>
          <w:color w:val="auto"/>
          <w:highlight w:val="none"/>
        </w:rPr>
      </w:pPr>
    </w:p>
    <w:p>
      <w:pPr>
        <w:outlineLvl w:val="9"/>
        <w:rPr>
          <w:rFonts w:hint="eastAsia"/>
          <w:color w:val="auto"/>
          <w:highlight w:val="none"/>
        </w:rPr>
      </w:pPr>
      <w:bookmarkStart w:id="2865" w:name="_Toc2979"/>
      <w:bookmarkStart w:id="2866" w:name="_Toc16781"/>
      <w:bookmarkStart w:id="2867" w:name="_Toc37649700"/>
      <w:bookmarkStart w:id="2868" w:name="_Toc12856"/>
      <w:bookmarkStart w:id="2869" w:name="_Toc505355402"/>
      <w:bookmarkStart w:id="2870" w:name="_Toc18915"/>
      <w:bookmarkStart w:id="2871" w:name="_Toc2251"/>
      <w:r>
        <w:rPr>
          <w:rFonts w:hint="eastAsia"/>
          <w:color w:val="auto"/>
          <w:highlight w:val="none"/>
        </w:rPr>
        <w:br w:type="page"/>
      </w:r>
    </w:p>
    <w:p>
      <w:pPr>
        <w:pStyle w:val="20"/>
        <w:jc w:val="center"/>
        <w:outlineLvl w:val="2"/>
        <w:rPr>
          <w:color w:val="auto"/>
          <w:highlight w:val="none"/>
        </w:rPr>
      </w:pPr>
      <w:bookmarkStart w:id="2872" w:name="_Toc4372"/>
      <w:r>
        <w:rPr>
          <w:rFonts w:hint="eastAsia"/>
          <w:color w:val="auto"/>
          <w:highlight w:val="none"/>
          <w:lang w:val="en-US" w:eastAsia="zh-CN"/>
        </w:rPr>
        <w:t>六</w:t>
      </w:r>
      <w:r>
        <w:rPr>
          <w:rFonts w:hint="eastAsia"/>
          <w:color w:val="auto"/>
          <w:highlight w:val="none"/>
        </w:rPr>
        <w:t>、投标报价</w:t>
      </w:r>
      <w:bookmarkEnd w:id="2865"/>
      <w:bookmarkEnd w:id="2866"/>
      <w:bookmarkEnd w:id="2867"/>
      <w:bookmarkEnd w:id="2868"/>
      <w:bookmarkEnd w:id="2869"/>
      <w:bookmarkEnd w:id="2870"/>
      <w:bookmarkEnd w:id="2871"/>
      <w:bookmarkEnd w:id="2872"/>
    </w:p>
    <w:p>
      <w:pPr>
        <w:spacing w:line="500" w:lineRule="exact"/>
        <w:ind w:firstLine="1027" w:firstLineChars="428"/>
        <w:rPr>
          <w:color w:val="auto"/>
          <w:sz w:val="24"/>
          <w:highlight w:val="none"/>
        </w:rPr>
      </w:pPr>
    </w:p>
    <w:p>
      <w:pPr>
        <w:spacing w:line="460" w:lineRule="exact"/>
        <w:ind w:left="1050" w:hanging="1050" w:hangingChars="500"/>
        <w:outlineLvl w:val="9"/>
        <w:rPr>
          <w:rFonts w:ascii="宋体" w:hAnsi="宋体"/>
          <w:color w:val="auto"/>
          <w:szCs w:val="21"/>
          <w:highlight w:val="none"/>
        </w:rPr>
      </w:pPr>
      <w:bookmarkStart w:id="2873" w:name="_Toc288066319"/>
      <w:bookmarkStart w:id="2874" w:name="_Toc325129582"/>
      <w:bookmarkStart w:id="2875" w:name="_Toc279401975"/>
      <w:bookmarkStart w:id="2876" w:name="_Toc323220047"/>
      <w:r>
        <w:rPr>
          <w:rFonts w:hint="eastAsia" w:ascii="黑体" w:hAnsi="宋体" w:eastAsia="黑体"/>
          <w:color w:val="auto"/>
          <w:szCs w:val="21"/>
          <w:highlight w:val="none"/>
        </w:rPr>
        <w:t xml:space="preserve">    说明：</w:t>
      </w:r>
      <w:r>
        <w:rPr>
          <w:rFonts w:hint="eastAsia" w:ascii="宋体" w:hAnsi="宋体"/>
          <w:color w:val="auto"/>
          <w:szCs w:val="21"/>
          <w:highlight w:val="none"/>
        </w:rPr>
        <w:t>已标价工程量清单按</w:t>
      </w:r>
      <w:r>
        <w:rPr>
          <w:rFonts w:hint="eastAsia" w:ascii="宋体" w:hAnsi="宋体"/>
          <w:color w:val="auto"/>
          <w:szCs w:val="21"/>
          <w:highlight w:val="none"/>
          <w:lang w:eastAsia="zh-CN"/>
        </w:rPr>
        <w:t>第五章</w:t>
      </w:r>
      <w:r>
        <w:rPr>
          <w:rFonts w:hint="eastAsia" w:ascii="宋体" w:hAnsi="宋体"/>
          <w:color w:val="auto"/>
          <w:szCs w:val="21"/>
          <w:highlight w:val="none"/>
        </w:rPr>
        <w:t>“工程量清单”中的相关清单表格式填写。构成合同文件的已标价工程量清单包括</w:t>
      </w:r>
      <w:r>
        <w:rPr>
          <w:rFonts w:hint="eastAsia" w:ascii="宋体" w:hAnsi="宋体"/>
          <w:color w:val="auto"/>
          <w:szCs w:val="21"/>
          <w:highlight w:val="none"/>
          <w:lang w:eastAsia="zh-CN"/>
        </w:rPr>
        <w:t>第五章</w:t>
      </w:r>
      <w:r>
        <w:rPr>
          <w:rFonts w:hint="eastAsia" w:ascii="宋体" w:hAnsi="宋体"/>
          <w:color w:val="auto"/>
          <w:szCs w:val="21"/>
          <w:highlight w:val="none"/>
        </w:rPr>
        <w:t>“工程量清单”的工程量清单说明和投标报价说明的内容。</w:t>
      </w: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rFonts w:ascii="宋体" w:hAnsi="宋体"/>
          <w:color w:val="auto"/>
          <w:highlight w:val="none"/>
        </w:rPr>
      </w:pPr>
      <w:r>
        <w:rPr>
          <w:rFonts w:ascii="宋体" w:hAnsi="宋体"/>
          <w:color w:val="auto"/>
          <w:highlight w:val="none"/>
        </w:rPr>
        <w:br w:type="page"/>
      </w:r>
    </w:p>
    <w:p>
      <w:pPr>
        <w:spacing w:line="380" w:lineRule="exact"/>
        <w:ind w:firstLine="420" w:firstLineChars="200"/>
        <w:rPr>
          <w:rFonts w:ascii="宋体" w:hAnsi="宋体"/>
          <w:color w:val="auto"/>
          <w:highlight w:val="none"/>
        </w:rPr>
      </w:pPr>
    </w:p>
    <w:p>
      <w:pPr>
        <w:pStyle w:val="20"/>
        <w:jc w:val="center"/>
        <w:outlineLvl w:val="2"/>
        <w:rPr>
          <w:color w:val="auto"/>
          <w:highlight w:val="none"/>
        </w:rPr>
      </w:pPr>
      <w:bookmarkStart w:id="2877" w:name="_Toc14515"/>
      <w:bookmarkStart w:id="2878" w:name="_Toc31555"/>
      <w:bookmarkStart w:id="2879" w:name="_Toc31435"/>
      <w:bookmarkStart w:id="2880" w:name="_Toc31716"/>
      <w:bookmarkStart w:id="2881" w:name="_Toc1058848106"/>
      <w:bookmarkStart w:id="2882" w:name="_Toc1366"/>
      <w:bookmarkStart w:id="2883" w:name="_Toc19121"/>
      <w:bookmarkStart w:id="2884" w:name="_Toc356505595"/>
      <w:r>
        <w:rPr>
          <w:rFonts w:hint="eastAsia"/>
          <w:color w:val="auto"/>
          <w:highlight w:val="none"/>
          <w:lang w:val="en-US" w:eastAsia="zh-CN"/>
        </w:rPr>
        <w:t>七</w:t>
      </w:r>
      <w:r>
        <w:rPr>
          <w:rFonts w:hint="eastAsia"/>
          <w:color w:val="auto"/>
          <w:highlight w:val="none"/>
        </w:rPr>
        <w:t>、施工组织设计</w:t>
      </w:r>
      <w:bookmarkEnd w:id="2877"/>
      <w:bookmarkEnd w:id="2878"/>
      <w:bookmarkEnd w:id="2879"/>
      <w:bookmarkEnd w:id="2880"/>
      <w:bookmarkEnd w:id="2881"/>
      <w:bookmarkEnd w:id="2882"/>
      <w:bookmarkEnd w:id="2883"/>
      <w:bookmarkEnd w:id="2884"/>
    </w:p>
    <w:p>
      <w:pPr>
        <w:spacing w:line="400" w:lineRule="exact"/>
        <w:rPr>
          <w:color w:val="auto"/>
          <w:sz w:val="36"/>
          <w:szCs w:val="36"/>
          <w:highlight w:val="none"/>
        </w:rPr>
      </w:pPr>
    </w:p>
    <w:p>
      <w:pPr>
        <w:spacing w:line="400" w:lineRule="exact"/>
        <w:rPr>
          <w:rFonts w:hint="default" w:ascii="宋体" w:hAnsi="宋体" w:eastAsia="宋体" w:cs="宋体"/>
          <w:color w:val="auto"/>
          <w:szCs w:val="21"/>
          <w:highlight w:val="none"/>
          <w:lang w:val="en-US" w:eastAsia="zh-CN"/>
        </w:rPr>
      </w:pPr>
    </w:p>
    <w:p>
      <w:pPr>
        <w:spacing w:line="360" w:lineRule="auto"/>
        <w:ind w:firstLine="525" w:firstLineChars="250"/>
        <w:rPr>
          <w:rFonts w:ascii="宋体" w:hAnsi="宋体" w:cs="宋体"/>
          <w:color w:val="auto"/>
          <w:szCs w:val="21"/>
          <w:highlight w:val="none"/>
        </w:rPr>
      </w:pPr>
      <w:r>
        <w:rPr>
          <w:rFonts w:hint="eastAsia" w:cs="宋体"/>
          <w:color w:val="auto"/>
          <w:szCs w:val="21"/>
          <w:highlight w:val="none"/>
        </w:rPr>
        <w:t>一</w:t>
      </w:r>
      <w:r>
        <w:rPr>
          <w:rFonts w:hint="eastAsia" w:ascii="宋体" w:hAnsi="宋体" w:cs="宋体"/>
          <w:color w:val="auto"/>
          <w:szCs w:val="21"/>
          <w:highlight w:val="none"/>
        </w:rPr>
        <w:t>.投标人编制施工组织设计时应采用文字并结合图表形式说明工程的施工组织、施工方法、技术组织措施。同时应对关键工序、复杂环节重点提出相应技术措施，如冬雨季施工技术、减少噪音、降低环境污染、地下管线及其它地上地下设施的保护加固措施等。施工组织设计还应结合工程特点提出切实可行的工程质量、工程进度、安全生产、文明施工、水土保持、环境保护管理方案。</w:t>
      </w:r>
    </w:p>
    <w:p>
      <w:pPr>
        <w:spacing w:line="360" w:lineRule="auto"/>
        <w:ind w:firstLine="315" w:firstLineChars="150"/>
        <w:rPr>
          <w:rFonts w:ascii="宋体" w:hAnsi="宋体" w:cs="宋体"/>
          <w:color w:val="auto"/>
          <w:szCs w:val="21"/>
          <w:highlight w:val="none"/>
        </w:rPr>
      </w:pPr>
      <w:r>
        <w:rPr>
          <w:rFonts w:hint="eastAsia" w:ascii="宋体" w:hAnsi="宋体" w:cs="宋体"/>
          <w:color w:val="auto"/>
          <w:szCs w:val="21"/>
          <w:highlight w:val="none"/>
        </w:rPr>
        <w:t>施工组织设计</w:t>
      </w:r>
      <w:r>
        <w:rPr>
          <w:rFonts w:hint="eastAsia" w:ascii="宋体" w:hAnsi="宋体"/>
          <w:color w:val="auto"/>
          <w:szCs w:val="21"/>
          <w:highlight w:val="none"/>
        </w:rPr>
        <w:t>要点如下</w:t>
      </w:r>
      <w:r>
        <w:rPr>
          <w:rFonts w:hint="eastAsia" w:ascii="宋体" w:hAnsi="宋体" w:cs="宋体"/>
          <w:color w:val="auto"/>
          <w:szCs w:val="21"/>
          <w:highlight w:val="none"/>
        </w:rPr>
        <w:t>：</w:t>
      </w:r>
    </w:p>
    <w:p>
      <w:pPr>
        <w:pStyle w:val="32"/>
        <w:outlineLvl w:val="3"/>
        <w:rPr>
          <w:b w:val="0"/>
          <w:color w:val="auto"/>
          <w:sz w:val="24"/>
          <w:szCs w:val="24"/>
          <w:highlight w:val="none"/>
        </w:rPr>
      </w:pPr>
      <w:bookmarkStart w:id="2885" w:name="_Toc31073"/>
      <w:bookmarkStart w:id="2886" w:name="_Toc1217400275"/>
      <w:bookmarkStart w:id="2887" w:name="_Toc469492655"/>
      <w:bookmarkStart w:id="2888" w:name="_Toc432083019"/>
      <w:bookmarkStart w:id="2889" w:name="_Toc432378467"/>
      <w:bookmarkStart w:id="2890" w:name="_Toc109149957"/>
      <w:bookmarkStart w:id="2891" w:name="_Toc15721"/>
      <w:bookmarkStart w:id="2892" w:name="_Toc456647876"/>
      <w:bookmarkStart w:id="2893" w:name="_Toc433399534"/>
      <w:bookmarkStart w:id="2894" w:name="_Toc524949175"/>
      <w:r>
        <w:rPr>
          <w:rFonts w:hint="eastAsia"/>
          <w:b w:val="0"/>
          <w:color w:val="auto"/>
          <w:sz w:val="24"/>
          <w:szCs w:val="24"/>
          <w:highlight w:val="none"/>
        </w:rPr>
        <w:t>（一）工程概况</w:t>
      </w:r>
      <w:bookmarkEnd w:id="2885"/>
      <w:bookmarkEnd w:id="2886"/>
      <w:bookmarkEnd w:id="2887"/>
      <w:bookmarkEnd w:id="2888"/>
      <w:bookmarkEnd w:id="2889"/>
      <w:bookmarkEnd w:id="2890"/>
      <w:bookmarkEnd w:id="2891"/>
      <w:bookmarkEnd w:id="2892"/>
      <w:bookmarkEnd w:id="2893"/>
      <w:bookmarkEnd w:id="2894"/>
    </w:p>
    <w:p>
      <w:pPr>
        <w:spacing w:line="420" w:lineRule="exact"/>
        <w:ind w:firstLine="945" w:firstLineChars="450"/>
        <w:rPr>
          <w:rFonts w:ascii="宋体" w:hAnsi="宋体"/>
          <w:color w:val="auto"/>
          <w:szCs w:val="21"/>
          <w:highlight w:val="none"/>
        </w:rPr>
      </w:pPr>
      <w:r>
        <w:rPr>
          <w:rFonts w:hint="eastAsia" w:ascii="宋体" w:hAnsi="宋体"/>
          <w:color w:val="auto"/>
          <w:szCs w:val="21"/>
          <w:highlight w:val="none"/>
        </w:rPr>
        <w:t>包括工程主要情况、项目特点及工程施工条件等；</w:t>
      </w:r>
    </w:p>
    <w:p>
      <w:pPr>
        <w:pStyle w:val="32"/>
        <w:outlineLvl w:val="3"/>
        <w:rPr>
          <w:rFonts w:hint="eastAsia"/>
          <w:b w:val="0"/>
          <w:color w:val="auto"/>
          <w:sz w:val="24"/>
          <w:szCs w:val="24"/>
          <w:highlight w:val="none"/>
        </w:rPr>
      </w:pPr>
      <w:bookmarkStart w:id="2895" w:name="_Toc456647877"/>
      <w:bookmarkStart w:id="2896" w:name="_Toc524949176"/>
      <w:bookmarkStart w:id="2897" w:name="_Toc469492656"/>
      <w:bookmarkStart w:id="2898" w:name="_Toc433399535"/>
      <w:bookmarkStart w:id="2899" w:name="_Toc432083020"/>
      <w:bookmarkStart w:id="2900" w:name="_Toc432378468"/>
      <w:bookmarkStart w:id="2901" w:name="_Toc30263"/>
      <w:bookmarkStart w:id="2902" w:name="_Toc30485"/>
      <w:bookmarkStart w:id="2903" w:name="_Toc109149958"/>
      <w:bookmarkStart w:id="2904" w:name="_Toc406845971"/>
      <w:r>
        <w:rPr>
          <w:rFonts w:hint="eastAsia"/>
          <w:b w:val="0"/>
          <w:color w:val="auto"/>
          <w:sz w:val="24"/>
          <w:szCs w:val="24"/>
          <w:highlight w:val="none"/>
        </w:rPr>
        <w:t>（二）</w:t>
      </w:r>
      <w:bookmarkEnd w:id="2895"/>
      <w:bookmarkEnd w:id="2896"/>
      <w:bookmarkEnd w:id="2897"/>
      <w:bookmarkEnd w:id="2898"/>
      <w:bookmarkEnd w:id="2899"/>
      <w:bookmarkEnd w:id="2900"/>
      <w:r>
        <w:rPr>
          <w:rFonts w:hint="eastAsia"/>
          <w:b w:val="0"/>
          <w:color w:val="auto"/>
          <w:sz w:val="24"/>
          <w:szCs w:val="24"/>
          <w:highlight w:val="none"/>
        </w:rPr>
        <w:t>施工部署</w:t>
      </w:r>
      <w:bookmarkEnd w:id="2901"/>
      <w:bookmarkEnd w:id="2902"/>
      <w:bookmarkEnd w:id="2903"/>
      <w:bookmarkEnd w:id="2904"/>
    </w:p>
    <w:p>
      <w:pPr>
        <w:spacing w:line="420" w:lineRule="exact"/>
        <w:ind w:left="420" w:leftChars="200" w:firstLine="525" w:firstLineChars="250"/>
        <w:rPr>
          <w:rFonts w:ascii="宋体" w:hAnsi="宋体"/>
          <w:color w:val="auto"/>
          <w:szCs w:val="21"/>
          <w:highlight w:val="none"/>
        </w:rPr>
      </w:pPr>
      <w:r>
        <w:rPr>
          <w:rFonts w:hint="eastAsia" w:ascii="宋体" w:hAnsi="宋体"/>
          <w:color w:val="auto"/>
          <w:szCs w:val="21"/>
          <w:highlight w:val="none"/>
        </w:rPr>
        <w:t>包括工程施工目标、主要施工内容及其进度安排、施工流水段划分、施工的重点和难点分析；工程管理的组织机构形式、项目负责人部的工作岗位设置及其职责划分；新技术、新工艺部署及其技术和管理要求（如有）；主要分包工程施工单位的选择要求及管理方式（如有）；</w:t>
      </w:r>
    </w:p>
    <w:p>
      <w:pPr>
        <w:pStyle w:val="32"/>
        <w:outlineLvl w:val="3"/>
        <w:rPr>
          <w:rFonts w:hint="eastAsia"/>
          <w:b w:val="0"/>
          <w:color w:val="auto"/>
          <w:sz w:val="24"/>
          <w:szCs w:val="24"/>
          <w:highlight w:val="none"/>
        </w:rPr>
      </w:pPr>
      <w:bookmarkStart w:id="2905" w:name="_Toc456647878"/>
      <w:bookmarkStart w:id="2906" w:name="_Toc469492657"/>
      <w:bookmarkStart w:id="2907" w:name="_Toc524949177"/>
      <w:bookmarkStart w:id="2908" w:name="_Toc109149959"/>
      <w:bookmarkStart w:id="2909" w:name="_Toc15466"/>
      <w:bookmarkStart w:id="2910" w:name="_Toc432083021"/>
      <w:bookmarkStart w:id="2911" w:name="_Toc20600"/>
      <w:bookmarkStart w:id="2912" w:name="_Toc433399536"/>
      <w:bookmarkStart w:id="2913" w:name="_Toc432378469"/>
      <w:bookmarkStart w:id="2914" w:name="_Toc1684325355"/>
      <w:r>
        <w:rPr>
          <w:rFonts w:hint="eastAsia"/>
          <w:b w:val="0"/>
          <w:color w:val="auto"/>
          <w:sz w:val="24"/>
          <w:szCs w:val="24"/>
          <w:highlight w:val="none"/>
        </w:rPr>
        <w:t>（三）资源配置计划</w:t>
      </w:r>
      <w:bookmarkEnd w:id="2905"/>
      <w:bookmarkEnd w:id="2906"/>
      <w:bookmarkEnd w:id="2907"/>
      <w:bookmarkEnd w:id="2908"/>
      <w:bookmarkEnd w:id="2909"/>
      <w:bookmarkEnd w:id="2910"/>
      <w:bookmarkEnd w:id="2911"/>
      <w:bookmarkEnd w:id="2912"/>
      <w:bookmarkEnd w:id="2913"/>
      <w:bookmarkEnd w:id="2914"/>
    </w:p>
    <w:p>
      <w:pPr>
        <w:spacing w:line="420" w:lineRule="exact"/>
        <w:ind w:left="420" w:leftChars="200" w:firstLine="525" w:firstLineChars="250"/>
        <w:rPr>
          <w:rFonts w:ascii="宋体" w:hAnsi="宋体"/>
          <w:color w:val="auto"/>
          <w:szCs w:val="21"/>
          <w:highlight w:val="none"/>
        </w:rPr>
      </w:pPr>
      <w:r>
        <w:rPr>
          <w:rFonts w:hint="eastAsia" w:ascii="宋体" w:hAnsi="宋体"/>
          <w:color w:val="auto"/>
          <w:szCs w:val="21"/>
          <w:highlight w:val="none"/>
        </w:rPr>
        <w:t>资源配置计划主要包括拟投入的主要物资计划，拟投入的主要施工机械、试验和检测仪器计划，劳动力安排计划等；</w:t>
      </w:r>
    </w:p>
    <w:p>
      <w:pPr>
        <w:pStyle w:val="32"/>
        <w:outlineLvl w:val="3"/>
        <w:rPr>
          <w:rFonts w:hint="eastAsia"/>
          <w:b w:val="0"/>
          <w:color w:val="auto"/>
          <w:sz w:val="24"/>
          <w:szCs w:val="24"/>
          <w:highlight w:val="none"/>
        </w:rPr>
      </w:pPr>
      <w:bookmarkStart w:id="2915" w:name="_Toc432083022"/>
      <w:bookmarkStart w:id="2916" w:name="_Toc469492658"/>
      <w:bookmarkStart w:id="2917" w:name="_Toc524949178"/>
      <w:bookmarkStart w:id="2918" w:name="_Toc432378470"/>
      <w:bookmarkStart w:id="2919" w:name="_Toc456647879"/>
      <w:bookmarkStart w:id="2920" w:name="_Toc433399537"/>
      <w:bookmarkStart w:id="2921" w:name="_Toc32078"/>
      <w:bookmarkStart w:id="2922" w:name="_Toc109149960"/>
      <w:bookmarkStart w:id="2923" w:name="_Toc1688853725"/>
      <w:bookmarkStart w:id="2924" w:name="_Toc19737"/>
      <w:r>
        <w:rPr>
          <w:rFonts w:hint="eastAsia"/>
          <w:b w:val="0"/>
          <w:color w:val="auto"/>
          <w:sz w:val="24"/>
          <w:szCs w:val="24"/>
          <w:highlight w:val="none"/>
        </w:rPr>
        <w:t>（四）</w:t>
      </w:r>
      <w:bookmarkEnd w:id="2915"/>
      <w:bookmarkEnd w:id="2916"/>
      <w:bookmarkEnd w:id="2917"/>
      <w:bookmarkEnd w:id="2918"/>
      <w:bookmarkEnd w:id="2919"/>
      <w:bookmarkEnd w:id="2920"/>
      <w:r>
        <w:rPr>
          <w:rFonts w:hint="eastAsia"/>
          <w:b w:val="0"/>
          <w:color w:val="auto"/>
          <w:sz w:val="24"/>
          <w:szCs w:val="24"/>
          <w:highlight w:val="none"/>
        </w:rPr>
        <w:t>主要施工方法与技术措施</w:t>
      </w:r>
      <w:bookmarkEnd w:id="2921"/>
      <w:bookmarkEnd w:id="2922"/>
      <w:bookmarkEnd w:id="2923"/>
      <w:bookmarkEnd w:id="2924"/>
    </w:p>
    <w:p>
      <w:pPr>
        <w:spacing w:line="420" w:lineRule="exact"/>
        <w:ind w:left="420" w:leftChars="200" w:firstLine="525" w:firstLineChars="250"/>
        <w:rPr>
          <w:rFonts w:ascii="宋体" w:hAnsi="宋体"/>
          <w:color w:val="auto"/>
          <w:szCs w:val="21"/>
          <w:highlight w:val="none"/>
        </w:rPr>
      </w:pPr>
      <w:r>
        <w:rPr>
          <w:rFonts w:hint="eastAsia" w:ascii="宋体" w:hAnsi="宋体"/>
          <w:color w:val="auto"/>
          <w:szCs w:val="21"/>
          <w:highlight w:val="none"/>
        </w:rPr>
        <w:t>结合工程实际理解和分析并提出施工方案和技术措施，突出施工重点和施工难点的方案和措施。包括田块整治工程、灌溉与排水工程、田间道路工程、农田防护与生态保护工程、农田输配电工程、农田地力提升工程、田间监测等工程的施工方案确定、材料确定、施工方法及工艺流程、施工要点控制、质量要求等，对易发生质量通病、易出现安全问题、施工难度大、技术含量高的分项工程（工序）等做出重点说明；</w:t>
      </w:r>
    </w:p>
    <w:p>
      <w:pPr>
        <w:pStyle w:val="32"/>
        <w:outlineLvl w:val="3"/>
        <w:rPr>
          <w:rFonts w:hint="eastAsia"/>
          <w:b w:val="0"/>
          <w:color w:val="auto"/>
          <w:sz w:val="24"/>
          <w:szCs w:val="24"/>
          <w:highlight w:val="none"/>
        </w:rPr>
      </w:pPr>
      <w:bookmarkStart w:id="2925" w:name="_Toc456647880"/>
      <w:bookmarkStart w:id="2926" w:name="_Toc432083023"/>
      <w:bookmarkStart w:id="2927" w:name="_Toc469492659"/>
      <w:bookmarkStart w:id="2928" w:name="_Toc432378471"/>
      <w:bookmarkStart w:id="2929" w:name="_Toc524949179"/>
      <w:bookmarkStart w:id="2930" w:name="_Toc433399538"/>
      <w:bookmarkStart w:id="2931" w:name="_Toc168579102"/>
      <w:bookmarkStart w:id="2932" w:name="_Toc109149961"/>
      <w:bookmarkStart w:id="2933" w:name="_Toc31735"/>
      <w:bookmarkStart w:id="2934" w:name="_Toc4134"/>
      <w:r>
        <w:rPr>
          <w:rFonts w:hint="eastAsia"/>
          <w:b w:val="0"/>
          <w:color w:val="auto"/>
          <w:sz w:val="24"/>
          <w:szCs w:val="24"/>
          <w:highlight w:val="none"/>
        </w:rPr>
        <w:t>（五）</w:t>
      </w:r>
      <w:bookmarkEnd w:id="2925"/>
      <w:bookmarkEnd w:id="2926"/>
      <w:bookmarkEnd w:id="2927"/>
      <w:bookmarkEnd w:id="2928"/>
      <w:bookmarkEnd w:id="2929"/>
      <w:bookmarkEnd w:id="2930"/>
      <w:r>
        <w:rPr>
          <w:rFonts w:hint="eastAsia"/>
          <w:b w:val="0"/>
          <w:color w:val="auto"/>
          <w:sz w:val="24"/>
          <w:szCs w:val="24"/>
          <w:highlight w:val="none"/>
        </w:rPr>
        <w:t>施工进度计划与措施</w:t>
      </w:r>
      <w:bookmarkEnd w:id="2931"/>
      <w:bookmarkEnd w:id="2932"/>
      <w:bookmarkEnd w:id="2933"/>
      <w:bookmarkEnd w:id="2934"/>
    </w:p>
    <w:p>
      <w:pPr>
        <w:spacing w:line="420" w:lineRule="exact"/>
        <w:ind w:left="424" w:leftChars="202" w:firstLine="525" w:firstLineChars="250"/>
        <w:rPr>
          <w:rFonts w:ascii="宋体" w:hAnsi="宋体"/>
          <w:color w:val="auto"/>
          <w:szCs w:val="21"/>
          <w:highlight w:val="none"/>
        </w:rPr>
      </w:pPr>
      <w:r>
        <w:rPr>
          <w:rFonts w:hint="eastAsia" w:ascii="宋体" w:hAnsi="宋体"/>
          <w:color w:val="auto"/>
          <w:szCs w:val="21"/>
          <w:highlight w:val="none"/>
        </w:rPr>
        <w:t>可采用网络图或横道图表示，并附必要说明，对于规模较大或较复杂的工程，宜采用网络图表示；</w:t>
      </w:r>
    </w:p>
    <w:p>
      <w:pPr>
        <w:pStyle w:val="32"/>
        <w:outlineLvl w:val="3"/>
        <w:rPr>
          <w:rFonts w:hint="eastAsia"/>
          <w:b w:val="0"/>
          <w:color w:val="auto"/>
          <w:sz w:val="24"/>
          <w:szCs w:val="24"/>
          <w:highlight w:val="none"/>
        </w:rPr>
      </w:pPr>
      <w:bookmarkStart w:id="2935" w:name="_Toc433399539"/>
      <w:bookmarkStart w:id="2936" w:name="_Toc469492660"/>
      <w:bookmarkStart w:id="2937" w:name="_Toc32390"/>
      <w:bookmarkStart w:id="2938" w:name="_Toc27724"/>
      <w:bookmarkStart w:id="2939" w:name="_Toc456647881"/>
      <w:bookmarkStart w:id="2940" w:name="_Toc524949180"/>
      <w:bookmarkStart w:id="2941" w:name="_Toc538328850"/>
      <w:bookmarkStart w:id="2942" w:name="_Toc432083024"/>
      <w:bookmarkStart w:id="2943" w:name="_Toc432378472"/>
      <w:bookmarkStart w:id="2944" w:name="_Toc109149962"/>
      <w:r>
        <w:rPr>
          <w:rFonts w:hint="eastAsia"/>
          <w:b w:val="0"/>
          <w:color w:val="auto"/>
          <w:sz w:val="24"/>
          <w:szCs w:val="24"/>
          <w:highlight w:val="none"/>
        </w:rPr>
        <w:t>（六）施工现场平面布置</w:t>
      </w:r>
      <w:bookmarkEnd w:id="2935"/>
      <w:bookmarkEnd w:id="2936"/>
      <w:bookmarkEnd w:id="2937"/>
      <w:bookmarkEnd w:id="2938"/>
      <w:bookmarkEnd w:id="2939"/>
      <w:bookmarkEnd w:id="2940"/>
      <w:bookmarkEnd w:id="2941"/>
      <w:bookmarkEnd w:id="2942"/>
      <w:bookmarkEnd w:id="2943"/>
      <w:bookmarkEnd w:id="2944"/>
    </w:p>
    <w:p>
      <w:pPr>
        <w:spacing w:line="420" w:lineRule="exact"/>
        <w:ind w:left="424" w:leftChars="202" w:firstLine="525" w:firstLineChars="250"/>
        <w:rPr>
          <w:rFonts w:ascii="宋体" w:hAnsi="宋体"/>
          <w:color w:val="auto"/>
          <w:szCs w:val="21"/>
          <w:highlight w:val="none"/>
        </w:rPr>
      </w:pPr>
      <w:r>
        <w:rPr>
          <w:rFonts w:hint="eastAsia" w:ascii="宋体" w:hAnsi="宋体"/>
          <w:color w:val="auto"/>
          <w:szCs w:val="21"/>
          <w:highlight w:val="none"/>
        </w:rPr>
        <w:t>按不同施工阶段绘制施工现场平面布置图并附文字说明，说明施工场地状况。包括但不限于施工布置规划、生产设施设备布置、施工工厂设施布置、场内场外交通及运输、场地平整、办公和生活用房、用（排）水、供电、通信、料场及渣场规划、必备的安全、消防、保卫和环境保护设施、永久及临时用地等；</w:t>
      </w:r>
    </w:p>
    <w:p>
      <w:pPr>
        <w:pStyle w:val="32"/>
        <w:outlineLvl w:val="3"/>
        <w:rPr>
          <w:rFonts w:hint="eastAsia"/>
          <w:b w:val="0"/>
          <w:color w:val="auto"/>
          <w:sz w:val="24"/>
          <w:szCs w:val="24"/>
          <w:highlight w:val="none"/>
        </w:rPr>
      </w:pPr>
      <w:bookmarkStart w:id="2945" w:name="_Toc432378473"/>
      <w:bookmarkStart w:id="2946" w:name="_Toc456647882"/>
      <w:bookmarkStart w:id="2947" w:name="_Toc469492661"/>
      <w:bookmarkStart w:id="2948" w:name="_Toc524949181"/>
      <w:bookmarkStart w:id="2949" w:name="_Toc432083025"/>
      <w:bookmarkStart w:id="2950" w:name="_Toc433399540"/>
      <w:bookmarkStart w:id="2951" w:name="_Toc109149963"/>
      <w:bookmarkStart w:id="2952" w:name="_Toc2144"/>
      <w:bookmarkStart w:id="2953" w:name="_Toc8950"/>
      <w:bookmarkStart w:id="2954" w:name="_Toc1069292176"/>
      <w:r>
        <w:rPr>
          <w:rFonts w:hint="eastAsia"/>
          <w:b w:val="0"/>
          <w:color w:val="auto"/>
          <w:sz w:val="24"/>
          <w:szCs w:val="24"/>
          <w:highlight w:val="none"/>
        </w:rPr>
        <w:t>（七）</w:t>
      </w:r>
      <w:bookmarkEnd w:id="2945"/>
      <w:bookmarkEnd w:id="2946"/>
      <w:bookmarkEnd w:id="2947"/>
      <w:bookmarkEnd w:id="2948"/>
      <w:bookmarkEnd w:id="2949"/>
      <w:bookmarkEnd w:id="2950"/>
      <w:r>
        <w:rPr>
          <w:rFonts w:hint="eastAsia"/>
          <w:b w:val="0"/>
          <w:color w:val="auto"/>
          <w:sz w:val="24"/>
          <w:szCs w:val="24"/>
          <w:highlight w:val="none"/>
        </w:rPr>
        <w:t>主要管理体系与措施</w:t>
      </w:r>
      <w:bookmarkEnd w:id="2951"/>
      <w:bookmarkEnd w:id="2952"/>
      <w:bookmarkEnd w:id="2953"/>
      <w:bookmarkEnd w:id="2954"/>
    </w:p>
    <w:p>
      <w:pPr>
        <w:spacing w:line="420" w:lineRule="exact"/>
        <w:ind w:left="424" w:leftChars="202" w:firstLine="525" w:firstLineChars="250"/>
        <w:rPr>
          <w:rFonts w:ascii="宋体" w:hAnsi="宋体"/>
          <w:color w:val="auto"/>
          <w:szCs w:val="21"/>
          <w:highlight w:val="none"/>
        </w:rPr>
      </w:pPr>
      <w:r>
        <w:rPr>
          <w:rFonts w:hint="eastAsia" w:ascii="宋体" w:hAnsi="宋体"/>
          <w:color w:val="auto"/>
          <w:szCs w:val="21"/>
          <w:highlight w:val="none"/>
        </w:rPr>
        <w:t>包括确保工程质量、安全生产、工期、文明施工、环境保护等主要技术组织措施和其他管理措施，其中其他管理措施宜包括治安保卫管理措施、合同管理措施，组织协调管理措施、创优质工程管理措施、成品保护管理措施、质量保修管理措施、对施工现场人力资源、施工机具、材料设备等管理措施。</w:t>
      </w:r>
    </w:p>
    <w:p>
      <w:pPr>
        <w:spacing w:line="420" w:lineRule="exact"/>
        <w:ind w:firstLine="420" w:firstLineChars="200"/>
        <w:rPr>
          <w:rFonts w:ascii="宋体" w:hAnsi="宋体"/>
          <w:color w:val="auto"/>
          <w:szCs w:val="21"/>
          <w:highlight w:val="none"/>
        </w:rPr>
      </w:pPr>
      <w:r>
        <w:rPr>
          <w:rFonts w:hint="eastAsia"/>
          <w:color w:val="auto"/>
          <w:szCs w:val="21"/>
          <w:highlight w:val="none"/>
        </w:rPr>
        <w:t>二</w:t>
      </w:r>
      <w:r>
        <w:rPr>
          <w:rFonts w:hint="eastAsia" w:ascii="宋体" w:hAnsi="宋体"/>
          <w:color w:val="auto"/>
          <w:szCs w:val="21"/>
          <w:highlight w:val="none"/>
        </w:rPr>
        <w:t>．施工组织设计除采用文字表述外可附下列图表，图表及格式要求附后。下述表格应按照章节内容，严格按给定的格式附在相应的章节中。</w:t>
      </w:r>
    </w:p>
    <w:p>
      <w:pPr>
        <w:tabs>
          <w:tab w:val="left" w:pos="720"/>
        </w:tabs>
        <w:spacing w:line="440" w:lineRule="exact"/>
        <w:ind w:firstLine="756" w:firstLineChars="360"/>
        <w:rPr>
          <w:rFonts w:ascii="宋体" w:hAnsi="宋体" w:cs="宋体"/>
          <w:color w:val="auto"/>
          <w:szCs w:val="21"/>
          <w:highlight w:val="none"/>
        </w:rPr>
      </w:pPr>
      <w:r>
        <w:rPr>
          <w:rFonts w:hint="eastAsia" w:ascii="宋体" w:hAnsi="宋体" w:cs="宋体"/>
          <w:color w:val="auto"/>
          <w:szCs w:val="21"/>
          <w:highlight w:val="none"/>
        </w:rPr>
        <w:t>附表一  拟投入本标段的物资计划表</w:t>
      </w:r>
    </w:p>
    <w:p>
      <w:pPr>
        <w:tabs>
          <w:tab w:val="left" w:pos="720"/>
        </w:tabs>
        <w:spacing w:line="440" w:lineRule="exact"/>
        <w:ind w:firstLine="756" w:firstLineChars="360"/>
        <w:rPr>
          <w:rFonts w:ascii="宋体" w:hAnsi="宋体" w:cs="宋体"/>
          <w:color w:val="auto"/>
          <w:szCs w:val="21"/>
          <w:highlight w:val="none"/>
        </w:rPr>
      </w:pPr>
      <w:r>
        <w:rPr>
          <w:rFonts w:hint="eastAsia" w:ascii="宋体" w:hAnsi="宋体" w:cs="宋体"/>
          <w:color w:val="auto"/>
          <w:szCs w:val="21"/>
          <w:highlight w:val="none"/>
        </w:rPr>
        <w:t>附表二  拟投入本标段的主要施工设备表</w:t>
      </w:r>
    </w:p>
    <w:p>
      <w:pPr>
        <w:tabs>
          <w:tab w:val="left" w:pos="720"/>
        </w:tabs>
        <w:spacing w:line="440" w:lineRule="exact"/>
        <w:ind w:firstLine="756" w:firstLineChars="360"/>
        <w:rPr>
          <w:rFonts w:ascii="宋体" w:hAnsi="宋体" w:cs="宋体"/>
          <w:color w:val="auto"/>
          <w:szCs w:val="21"/>
          <w:highlight w:val="none"/>
        </w:rPr>
      </w:pPr>
      <w:r>
        <w:rPr>
          <w:rFonts w:hint="eastAsia" w:ascii="宋体" w:hAnsi="宋体" w:cs="宋体"/>
          <w:color w:val="auto"/>
          <w:szCs w:val="21"/>
          <w:highlight w:val="none"/>
        </w:rPr>
        <w:t>附表三  拟投入本标段的劳动力计划表</w:t>
      </w:r>
    </w:p>
    <w:p>
      <w:pPr>
        <w:tabs>
          <w:tab w:val="left" w:pos="720"/>
        </w:tabs>
        <w:spacing w:line="440" w:lineRule="exact"/>
        <w:ind w:firstLine="756" w:firstLineChars="360"/>
        <w:rPr>
          <w:rFonts w:ascii="宋体" w:hAnsi="宋体" w:cs="宋体"/>
          <w:color w:val="auto"/>
          <w:szCs w:val="21"/>
          <w:highlight w:val="none"/>
        </w:rPr>
      </w:pPr>
      <w:r>
        <w:rPr>
          <w:rFonts w:hint="eastAsia" w:ascii="宋体" w:hAnsi="宋体" w:cs="宋体"/>
          <w:color w:val="auto"/>
          <w:szCs w:val="21"/>
          <w:highlight w:val="none"/>
        </w:rPr>
        <w:t>附表四  计划开工日期、</w:t>
      </w:r>
      <w:r>
        <w:rPr>
          <w:rFonts w:hint="eastAsia" w:ascii="宋体" w:hAnsi="宋体" w:cs="宋体"/>
          <w:color w:val="auto"/>
          <w:highlight w:val="none"/>
        </w:rPr>
        <w:t>完工</w:t>
      </w:r>
      <w:r>
        <w:rPr>
          <w:rFonts w:hint="eastAsia" w:ascii="宋体" w:hAnsi="宋体" w:cs="宋体"/>
          <w:color w:val="auto"/>
          <w:szCs w:val="21"/>
          <w:highlight w:val="none"/>
        </w:rPr>
        <w:t>日期和施工进度网络图</w:t>
      </w:r>
    </w:p>
    <w:p>
      <w:pPr>
        <w:tabs>
          <w:tab w:val="left" w:pos="720"/>
        </w:tabs>
        <w:spacing w:line="440" w:lineRule="exact"/>
        <w:ind w:firstLine="756" w:firstLineChars="360"/>
        <w:rPr>
          <w:rFonts w:ascii="宋体" w:hAnsi="宋体" w:cs="宋体"/>
          <w:color w:val="auto"/>
          <w:szCs w:val="21"/>
          <w:highlight w:val="none"/>
        </w:rPr>
      </w:pPr>
      <w:r>
        <w:rPr>
          <w:rFonts w:hint="eastAsia" w:ascii="宋体" w:hAnsi="宋体" w:cs="宋体"/>
          <w:color w:val="auto"/>
          <w:szCs w:val="21"/>
          <w:highlight w:val="none"/>
        </w:rPr>
        <w:t>附表五  施工总平面图</w:t>
      </w:r>
    </w:p>
    <w:p>
      <w:pPr>
        <w:tabs>
          <w:tab w:val="left" w:pos="720"/>
        </w:tabs>
        <w:spacing w:line="440" w:lineRule="exact"/>
        <w:ind w:firstLine="756" w:firstLineChars="360"/>
        <w:rPr>
          <w:rFonts w:ascii="宋体" w:hAnsi="宋体" w:cs="宋体"/>
          <w:color w:val="auto"/>
          <w:szCs w:val="21"/>
          <w:highlight w:val="none"/>
        </w:rPr>
      </w:pPr>
      <w:r>
        <w:rPr>
          <w:rFonts w:hint="eastAsia" w:ascii="宋体" w:hAnsi="宋体" w:cs="宋体"/>
          <w:color w:val="auto"/>
          <w:szCs w:val="21"/>
          <w:highlight w:val="none"/>
        </w:rPr>
        <w:t>附表六  临时用地表</w:t>
      </w:r>
    </w:p>
    <w:p>
      <w:pPr>
        <w:tabs>
          <w:tab w:val="left" w:pos="720"/>
        </w:tabs>
        <w:spacing w:line="440" w:lineRule="exact"/>
        <w:ind w:firstLine="756" w:firstLineChars="360"/>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pStyle w:val="30"/>
        <w:outlineLvl w:val="9"/>
        <w:rPr>
          <w:rFonts w:ascii="宋体" w:hAnsi="宋体" w:cs="宋体"/>
          <w:color w:val="auto"/>
          <w:szCs w:val="21"/>
          <w:highlight w:val="none"/>
        </w:rPr>
      </w:pPr>
    </w:p>
    <w:p>
      <w:pPr>
        <w:outlineLvl w:val="9"/>
        <w:rPr>
          <w:color w:val="auto"/>
          <w:highlight w:val="none"/>
        </w:rPr>
      </w:pPr>
    </w:p>
    <w:p>
      <w:pPr>
        <w:tabs>
          <w:tab w:val="left" w:pos="720"/>
        </w:tabs>
        <w:spacing w:line="440" w:lineRule="exact"/>
        <w:ind w:firstLine="756" w:firstLineChars="360"/>
        <w:outlineLvl w:val="9"/>
        <w:rPr>
          <w:rFonts w:ascii="宋体" w:hAnsi="宋体" w:cs="宋体"/>
          <w:color w:val="auto"/>
          <w:szCs w:val="21"/>
          <w:highlight w:val="none"/>
        </w:rPr>
      </w:pPr>
    </w:p>
    <w:p>
      <w:pPr>
        <w:pStyle w:val="8"/>
        <w:outlineLvl w:val="3"/>
        <w:rPr>
          <w:color w:val="auto"/>
          <w:highlight w:val="none"/>
        </w:rPr>
      </w:pPr>
      <w:bookmarkStart w:id="2955" w:name="_Toc432378474"/>
      <w:bookmarkStart w:id="2956" w:name="_Toc28490"/>
      <w:bookmarkStart w:id="2957" w:name="_Toc30610"/>
      <w:bookmarkStart w:id="2958" w:name="_Toc526"/>
      <w:bookmarkStart w:id="2959" w:name="_Toc30582"/>
      <w:bookmarkStart w:id="2960" w:name="_Toc1184343398"/>
      <w:bookmarkStart w:id="2961" w:name="_Toc433399541"/>
      <w:bookmarkStart w:id="2962" w:name="_Toc11435"/>
      <w:r>
        <w:rPr>
          <w:rFonts w:hint="eastAsia"/>
          <w:color w:val="auto"/>
          <w:highlight w:val="none"/>
        </w:rPr>
        <w:t>附表一：拟投入本标段的物资计划表</w:t>
      </w:r>
      <w:bookmarkEnd w:id="2955"/>
      <w:bookmarkEnd w:id="2956"/>
      <w:bookmarkEnd w:id="2957"/>
      <w:bookmarkEnd w:id="2958"/>
      <w:bookmarkEnd w:id="2959"/>
      <w:bookmarkEnd w:id="2960"/>
      <w:bookmarkEnd w:id="2961"/>
      <w:bookmarkEnd w:id="2962"/>
    </w:p>
    <w:p>
      <w:pPr>
        <w:jc w:val="center"/>
        <w:rPr>
          <w:rFonts w:ascii="宋体" w:hAnsi="宋体" w:cs="宋体"/>
          <w:b/>
          <w:color w:val="auto"/>
          <w:sz w:val="28"/>
          <w:szCs w:val="28"/>
          <w:highlight w:val="none"/>
        </w:rPr>
      </w:pPr>
    </w:p>
    <w:p>
      <w:pPr>
        <w:jc w:val="center"/>
        <w:rPr>
          <w:rFonts w:ascii="宋体" w:hAnsi="宋体" w:cs="宋体"/>
          <w:color w:val="auto"/>
          <w:sz w:val="24"/>
          <w:highlight w:val="none"/>
        </w:rPr>
      </w:pPr>
      <w:r>
        <w:rPr>
          <w:rFonts w:hint="eastAsia" w:ascii="宋体" w:hAnsi="宋体" w:cs="宋体"/>
          <w:b/>
          <w:color w:val="auto"/>
          <w:sz w:val="28"/>
          <w:szCs w:val="28"/>
          <w:highlight w:val="none"/>
        </w:rPr>
        <w:t xml:space="preserve">拟投入本标段的物资计划表                </w:t>
      </w:r>
    </w:p>
    <w:tbl>
      <w:tblPr>
        <w:tblStyle w:val="2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260"/>
        <w:gridCol w:w="1620"/>
        <w:gridCol w:w="1440"/>
        <w:gridCol w:w="1440"/>
        <w:gridCol w:w="10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008"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序号</w:t>
            </w:r>
          </w:p>
        </w:tc>
        <w:tc>
          <w:tcPr>
            <w:tcW w:w="1260"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物资名称</w:t>
            </w:r>
          </w:p>
        </w:tc>
        <w:tc>
          <w:tcPr>
            <w:tcW w:w="1620"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规格型号</w:t>
            </w:r>
          </w:p>
        </w:tc>
        <w:tc>
          <w:tcPr>
            <w:tcW w:w="1440"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生产厂家</w:t>
            </w:r>
          </w:p>
        </w:tc>
        <w:tc>
          <w:tcPr>
            <w:tcW w:w="1440"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需用时间</w:t>
            </w:r>
          </w:p>
        </w:tc>
        <w:tc>
          <w:tcPr>
            <w:tcW w:w="1080"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单位</w:t>
            </w:r>
          </w:p>
        </w:tc>
        <w:tc>
          <w:tcPr>
            <w:tcW w:w="1080"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008" w:type="dxa"/>
          </w:tcPr>
          <w:p>
            <w:pPr>
              <w:spacing w:line="380" w:lineRule="atLeast"/>
              <w:jc w:val="center"/>
              <w:rPr>
                <w:rFonts w:ascii="宋体" w:hAnsi="宋体" w:cs="宋体"/>
                <w:color w:val="auto"/>
                <w:highlight w:val="none"/>
              </w:rPr>
            </w:pPr>
          </w:p>
        </w:tc>
        <w:tc>
          <w:tcPr>
            <w:tcW w:w="1260" w:type="dxa"/>
          </w:tcPr>
          <w:p>
            <w:pPr>
              <w:spacing w:line="380" w:lineRule="atLeast"/>
              <w:jc w:val="center"/>
              <w:rPr>
                <w:rFonts w:ascii="宋体" w:hAnsi="宋体" w:cs="宋体"/>
                <w:color w:val="auto"/>
                <w:highlight w:val="none"/>
              </w:rPr>
            </w:pPr>
          </w:p>
        </w:tc>
        <w:tc>
          <w:tcPr>
            <w:tcW w:w="162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44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c>
          <w:tcPr>
            <w:tcW w:w="1080" w:type="dxa"/>
          </w:tcPr>
          <w:p>
            <w:pPr>
              <w:spacing w:line="380" w:lineRule="atLeast"/>
              <w:jc w:val="center"/>
              <w:rPr>
                <w:rFonts w:ascii="宋体" w:hAnsi="宋体" w:cs="宋体"/>
                <w:color w:val="auto"/>
                <w:highlight w:val="none"/>
              </w:rPr>
            </w:pPr>
          </w:p>
        </w:tc>
      </w:tr>
    </w:tbl>
    <w:p>
      <w:pPr>
        <w:rPr>
          <w:rFonts w:ascii="宋体" w:hAnsi="宋体" w:cs="宋体"/>
          <w:color w:val="auto"/>
          <w:highlight w:val="none"/>
        </w:rPr>
      </w:pPr>
    </w:p>
    <w:p>
      <w:pPr>
        <w:outlineLvl w:val="9"/>
        <w:rPr>
          <w:rFonts w:ascii="宋体" w:hAnsi="宋体" w:cs="宋体"/>
          <w:color w:val="auto"/>
          <w:highlight w:val="none"/>
        </w:rPr>
      </w:pPr>
    </w:p>
    <w:p>
      <w:pPr>
        <w:outlineLvl w:val="9"/>
        <w:rPr>
          <w:rFonts w:ascii="宋体" w:hAnsi="宋体" w:cs="宋体"/>
          <w:color w:val="auto"/>
          <w:highlight w:val="none"/>
        </w:rPr>
      </w:pPr>
    </w:p>
    <w:p>
      <w:pPr>
        <w:pStyle w:val="30"/>
        <w:outlineLvl w:val="9"/>
        <w:rPr>
          <w:color w:val="auto"/>
          <w:highlight w:val="none"/>
        </w:rPr>
      </w:pPr>
    </w:p>
    <w:p/>
    <w:p>
      <w:pPr>
        <w:pStyle w:val="8"/>
        <w:outlineLvl w:val="3"/>
        <w:rPr>
          <w:color w:val="auto"/>
          <w:highlight w:val="none"/>
        </w:rPr>
      </w:pPr>
      <w:bookmarkStart w:id="2963" w:name="_Toc30071"/>
      <w:bookmarkStart w:id="2964" w:name="_Toc432378475"/>
      <w:bookmarkStart w:id="2965" w:name="_Toc433399542"/>
      <w:bookmarkStart w:id="2966" w:name="_Toc30815"/>
      <w:bookmarkStart w:id="2967" w:name="_Toc2130832957"/>
      <w:bookmarkStart w:id="2968" w:name="_Toc4629"/>
      <w:bookmarkStart w:id="2969" w:name="_Toc4438"/>
      <w:bookmarkStart w:id="2970" w:name="_Toc23870"/>
      <w:r>
        <w:rPr>
          <w:rFonts w:hint="eastAsia"/>
          <w:color w:val="auto"/>
          <w:highlight w:val="none"/>
        </w:rPr>
        <w:t>附表二：拟投入本标段的主要施工设备表</w:t>
      </w:r>
      <w:bookmarkEnd w:id="2963"/>
      <w:bookmarkEnd w:id="2964"/>
      <w:bookmarkEnd w:id="2965"/>
      <w:bookmarkEnd w:id="2966"/>
      <w:bookmarkEnd w:id="2967"/>
      <w:bookmarkEnd w:id="2968"/>
      <w:bookmarkEnd w:id="2969"/>
      <w:bookmarkEnd w:id="2970"/>
    </w:p>
    <w:p>
      <w:pPr>
        <w:spacing w:line="440" w:lineRule="exact"/>
        <w:rPr>
          <w:rFonts w:ascii="宋体" w:hAnsi="宋体" w:cs="宋体"/>
          <w:color w:val="auto"/>
          <w:highlight w:val="none"/>
        </w:rPr>
      </w:pPr>
    </w:p>
    <w:p>
      <w:pPr>
        <w:jc w:val="center"/>
        <w:rPr>
          <w:rFonts w:ascii="宋体" w:hAnsi="宋体" w:cs="宋体"/>
          <w:b/>
          <w:color w:val="auto"/>
          <w:sz w:val="28"/>
          <w:szCs w:val="28"/>
          <w:highlight w:val="none"/>
        </w:rPr>
      </w:pPr>
      <w:r>
        <w:rPr>
          <w:rFonts w:hint="eastAsia" w:ascii="宋体" w:hAnsi="宋体" w:cs="宋体"/>
          <w:b/>
          <w:color w:val="auto"/>
          <w:sz w:val="28"/>
          <w:szCs w:val="28"/>
          <w:highlight w:val="none"/>
        </w:rPr>
        <w:t>投入本标段的主要施工设备表</w:t>
      </w:r>
    </w:p>
    <w:p>
      <w:pPr>
        <w:spacing w:line="440" w:lineRule="exact"/>
        <w:rPr>
          <w:rFonts w:ascii="宋体" w:hAnsi="宋体" w:cs="宋体"/>
          <w:color w:val="auto"/>
          <w:sz w:val="20"/>
          <w:szCs w:val="20"/>
          <w:highlight w:val="none"/>
        </w:rPr>
      </w:pPr>
    </w:p>
    <w:tbl>
      <w:tblPr>
        <w:tblStyle w:val="28"/>
        <w:tblW w:w="952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183"/>
        <w:gridCol w:w="829"/>
        <w:gridCol w:w="1078"/>
        <w:gridCol w:w="732"/>
        <w:gridCol w:w="804"/>
        <w:gridCol w:w="1320"/>
        <w:gridCol w:w="953"/>
        <w:gridCol w:w="1149"/>
        <w:gridCol w:w="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序号</w:t>
            </w:r>
          </w:p>
        </w:tc>
        <w:tc>
          <w:tcPr>
            <w:tcW w:w="1183"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设备名称</w:t>
            </w:r>
          </w:p>
        </w:tc>
        <w:tc>
          <w:tcPr>
            <w:tcW w:w="829"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型号</w:t>
            </w:r>
          </w:p>
          <w:p>
            <w:pPr>
              <w:spacing w:line="380" w:lineRule="atLeast"/>
              <w:jc w:val="center"/>
              <w:rPr>
                <w:rFonts w:ascii="宋体" w:hAnsi="宋体" w:cs="宋体"/>
                <w:color w:val="auto"/>
                <w:highlight w:val="none"/>
              </w:rPr>
            </w:pPr>
            <w:r>
              <w:rPr>
                <w:rFonts w:hint="eastAsia" w:ascii="宋体" w:hAnsi="宋体" w:cs="宋体"/>
                <w:color w:val="auto"/>
                <w:highlight w:val="none"/>
              </w:rPr>
              <w:t>规格</w:t>
            </w:r>
          </w:p>
        </w:tc>
        <w:tc>
          <w:tcPr>
            <w:tcW w:w="1078"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数量</w:t>
            </w:r>
          </w:p>
        </w:tc>
        <w:tc>
          <w:tcPr>
            <w:tcW w:w="732"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国别</w:t>
            </w:r>
          </w:p>
          <w:p>
            <w:pPr>
              <w:spacing w:line="380" w:lineRule="atLeast"/>
              <w:jc w:val="center"/>
              <w:rPr>
                <w:rFonts w:ascii="宋体" w:hAnsi="宋体" w:cs="宋体"/>
                <w:color w:val="auto"/>
                <w:highlight w:val="none"/>
              </w:rPr>
            </w:pPr>
            <w:r>
              <w:rPr>
                <w:rFonts w:hint="eastAsia" w:ascii="宋体" w:hAnsi="宋体" w:cs="宋体"/>
                <w:color w:val="auto"/>
                <w:highlight w:val="none"/>
              </w:rPr>
              <w:t>产地</w:t>
            </w:r>
          </w:p>
        </w:tc>
        <w:tc>
          <w:tcPr>
            <w:tcW w:w="804"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制造</w:t>
            </w:r>
          </w:p>
          <w:p>
            <w:pPr>
              <w:spacing w:line="380" w:lineRule="atLeast"/>
              <w:jc w:val="center"/>
              <w:rPr>
                <w:rFonts w:ascii="宋体" w:hAnsi="宋体" w:cs="宋体"/>
                <w:color w:val="auto"/>
                <w:highlight w:val="none"/>
              </w:rPr>
            </w:pPr>
            <w:r>
              <w:rPr>
                <w:rFonts w:hint="eastAsia" w:ascii="宋体" w:hAnsi="宋体" w:cs="宋体"/>
                <w:color w:val="auto"/>
                <w:highlight w:val="none"/>
              </w:rPr>
              <w:t>年份</w:t>
            </w:r>
          </w:p>
        </w:tc>
        <w:tc>
          <w:tcPr>
            <w:tcW w:w="1320"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额定功率（KW）</w:t>
            </w:r>
          </w:p>
        </w:tc>
        <w:tc>
          <w:tcPr>
            <w:tcW w:w="953"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生产</w:t>
            </w:r>
          </w:p>
          <w:p>
            <w:pPr>
              <w:spacing w:line="380" w:lineRule="atLeast"/>
              <w:jc w:val="center"/>
              <w:rPr>
                <w:rFonts w:ascii="宋体" w:hAnsi="宋体" w:cs="宋体"/>
                <w:color w:val="auto"/>
                <w:highlight w:val="none"/>
              </w:rPr>
            </w:pPr>
            <w:r>
              <w:rPr>
                <w:rFonts w:hint="eastAsia" w:ascii="宋体" w:hAnsi="宋体" w:cs="宋体"/>
                <w:color w:val="auto"/>
                <w:highlight w:val="none"/>
              </w:rPr>
              <w:t>能力</w:t>
            </w:r>
          </w:p>
        </w:tc>
        <w:tc>
          <w:tcPr>
            <w:tcW w:w="1149"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用于施工</w:t>
            </w:r>
          </w:p>
          <w:p>
            <w:pPr>
              <w:spacing w:line="380" w:lineRule="atLeast"/>
              <w:jc w:val="center"/>
              <w:rPr>
                <w:rFonts w:ascii="宋体" w:hAnsi="宋体" w:cs="宋体"/>
                <w:color w:val="auto"/>
                <w:highlight w:val="none"/>
              </w:rPr>
            </w:pPr>
            <w:r>
              <w:rPr>
                <w:rFonts w:hint="eastAsia" w:ascii="宋体" w:hAnsi="宋体" w:cs="宋体"/>
                <w:color w:val="auto"/>
                <w:highlight w:val="none"/>
              </w:rPr>
              <w:t>部位</w:t>
            </w:r>
          </w:p>
        </w:tc>
        <w:tc>
          <w:tcPr>
            <w:tcW w:w="753"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vAlign w:val="center"/>
          </w:tcPr>
          <w:p>
            <w:pPr>
              <w:spacing w:line="380" w:lineRule="atLeast"/>
              <w:rPr>
                <w:rFonts w:ascii="宋体" w:hAnsi="宋体" w:cs="宋体"/>
                <w:color w:val="auto"/>
                <w:highlight w:val="none"/>
              </w:rPr>
            </w:pPr>
          </w:p>
        </w:tc>
        <w:tc>
          <w:tcPr>
            <w:tcW w:w="1183" w:type="dxa"/>
            <w:vAlign w:val="center"/>
          </w:tcPr>
          <w:p>
            <w:pPr>
              <w:spacing w:line="380" w:lineRule="atLeast"/>
              <w:rPr>
                <w:rFonts w:ascii="宋体" w:hAnsi="宋体" w:cs="宋体"/>
                <w:color w:val="auto"/>
                <w:highlight w:val="none"/>
              </w:rPr>
            </w:pPr>
          </w:p>
        </w:tc>
        <w:tc>
          <w:tcPr>
            <w:tcW w:w="829" w:type="dxa"/>
            <w:vAlign w:val="center"/>
          </w:tcPr>
          <w:p>
            <w:pPr>
              <w:spacing w:line="380" w:lineRule="atLeast"/>
              <w:rPr>
                <w:rFonts w:ascii="宋体" w:hAnsi="宋体" w:cs="宋体"/>
                <w:color w:val="auto"/>
                <w:highlight w:val="none"/>
              </w:rPr>
            </w:pPr>
          </w:p>
        </w:tc>
        <w:tc>
          <w:tcPr>
            <w:tcW w:w="1078" w:type="dxa"/>
            <w:vAlign w:val="center"/>
          </w:tcPr>
          <w:p>
            <w:pPr>
              <w:spacing w:line="380" w:lineRule="atLeast"/>
              <w:rPr>
                <w:rFonts w:ascii="宋体" w:hAnsi="宋体" w:cs="宋体"/>
                <w:color w:val="auto"/>
                <w:highlight w:val="none"/>
              </w:rPr>
            </w:pPr>
          </w:p>
        </w:tc>
        <w:tc>
          <w:tcPr>
            <w:tcW w:w="732" w:type="dxa"/>
            <w:vAlign w:val="center"/>
          </w:tcPr>
          <w:p>
            <w:pPr>
              <w:spacing w:line="380" w:lineRule="atLeast"/>
              <w:rPr>
                <w:rFonts w:ascii="宋体" w:hAnsi="宋体" w:cs="宋体"/>
                <w:color w:val="auto"/>
                <w:highlight w:val="none"/>
              </w:rPr>
            </w:pPr>
          </w:p>
        </w:tc>
        <w:tc>
          <w:tcPr>
            <w:tcW w:w="804" w:type="dxa"/>
            <w:vAlign w:val="center"/>
          </w:tcPr>
          <w:p>
            <w:pPr>
              <w:spacing w:line="380" w:lineRule="atLeast"/>
              <w:rPr>
                <w:rFonts w:ascii="宋体" w:hAnsi="宋体" w:cs="宋体"/>
                <w:color w:val="auto"/>
                <w:highlight w:val="none"/>
              </w:rPr>
            </w:pPr>
          </w:p>
        </w:tc>
        <w:tc>
          <w:tcPr>
            <w:tcW w:w="1320" w:type="dxa"/>
            <w:vAlign w:val="center"/>
          </w:tcPr>
          <w:p>
            <w:pPr>
              <w:spacing w:line="380" w:lineRule="atLeast"/>
              <w:rPr>
                <w:rFonts w:ascii="宋体" w:hAnsi="宋体" w:cs="宋体"/>
                <w:color w:val="auto"/>
                <w:highlight w:val="none"/>
              </w:rPr>
            </w:pPr>
          </w:p>
        </w:tc>
        <w:tc>
          <w:tcPr>
            <w:tcW w:w="953" w:type="dxa"/>
            <w:vAlign w:val="center"/>
          </w:tcPr>
          <w:p>
            <w:pPr>
              <w:spacing w:line="380" w:lineRule="atLeast"/>
              <w:rPr>
                <w:rFonts w:ascii="宋体" w:hAnsi="宋体" w:cs="宋体"/>
                <w:color w:val="auto"/>
                <w:highlight w:val="none"/>
              </w:rPr>
            </w:pPr>
          </w:p>
        </w:tc>
        <w:tc>
          <w:tcPr>
            <w:tcW w:w="1149" w:type="dxa"/>
            <w:vAlign w:val="center"/>
          </w:tcPr>
          <w:p>
            <w:pPr>
              <w:spacing w:line="380" w:lineRule="atLeast"/>
              <w:rPr>
                <w:rFonts w:ascii="宋体" w:hAnsi="宋体" w:cs="宋体"/>
                <w:color w:val="auto"/>
                <w:highlight w:val="none"/>
              </w:rPr>
            </w:pPr>
          </w:p>
        </w:tc>
        <w:tc>
          <w:tcPr>
            <w:tcW w:w="753" w:type="dxa"/>
            <w:vAlign w:val="center"/>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vAlign w:val="center"/>
          </w:tcPr>
          <w:p>
            <w:pPr>
              <w:spacing w:line="380" w:lineRule="atLeast"/>
              <w:rPr>
                <w:rFonts w:ascii="宋体" w:hAnsi="宋体" w:cs="宋体"/>
                <w:color w:val="auto"/>
                <w:highlight w:val="none"/>
              </w:rPr>
            </w:pPr>
          </w:p>
        </w:tc>
        <w:tc>
          <w:tcPr>
            <w:tcW w:w="1183" w:type="dxa"/>
            <w:vAlign w:val="center"/>
          </w:tcPr>
          <w:p>
            <w:pPr>
              <w:spacing w:line="380" w:lineRule="atLeast"/>
              <w:rPr>
                <w:rFonts w:ascii="宋体" w:hAnsi="宋体" w:cs="宋体"/>
                <w:color w:val="auto"/>
                <w:highlight w:val="none"/>
              </w:rPr>
            </w:pPr>
          </w:p>
        </w:tc>
        <w:tc>
          <w:tcPr>
            <w:tcW w:w="829" w:type="dxa"/>
            <w:vAlign w:val="center"/>
          </w:tcPr>
          <w:p>
            <w:pPr>
              <w:spacing w:line="380" w:lineRule="atLeast"/>
              <w:rPr>
                <w:rFonts w:ascii="宋体" w:hAnsi="宋体" w:cs="宋体"/>
                <w:color w:val="auto"/>
                <w:highlight w:val="none"/>
              </w:rPr>
            </w:pPr>
          </w:p>
        </w:tc>
        <w:tc>
          <w:tcPr>
            <w:tcW w:w="1078" w:type="dxa"/>
            <w:vAlign w:val="center"/>
          </w:tcPr>
          <w:p>
            <w:pPr>
              <w:spacing w:line="380" w:lineRule="atLeast"/>
              <w:rPr>
                <w:rFonts w:ascii="宋体" w:hAnsi="宋体" w:cs="宋体"/>
                <w:color w:val="auto"/>
                <w:highlight w:val="none"/>
              </w:rPr>
            </w:pPr>
          </w:p>
        </w:tc>
        <w:tc>
          <w:tcPr>
            <w:tcW w:w="732" w:type="dxa"/>
            <w:vAlign w:val="center"/>
          </w:tcPr>
          <w:p>
            <w:pPr>
              <w:spacing w:line="380" w:lineRule="atLeast"/>
              <w:rPr>
                <w:rFonts w:ascii="宋体" w:hAnsi="宋体" w:cs="宋体"/>
                <w:color w:val="auto"/>
                <w:highlight w:val="none"/>
              </w:rPr>
            </w:pPr>
          </w:p>
        </w:tc>
        <w:tc>
          <w:tcPr>
            <w:tcW w:w="804" w:type="dxa"/>
            <w:vAlign w:val="center"/>
          </w:tcPr>
          <w:p>
            <w:pPr>
              <w:spacing w:line="380" w:lineRule="atLeast"/>
              <w:rPr>
                <w:rFonts w:ascii="宋体" w:hAnsi="宋体" w:cs="宋体"/>
                <w:color w:val="auto"/>
                <w:highlight w:val="none"/>
              </w:rPr>
            </w:pPr>
          </w:p>
        </w:tc>
        <w:tc>
          <w:tcPr>
            <w:tcW w:w="1320" w:type="dxa"/>
            <w:vAlign w:val="center"/>
          </w:tcPr>
          <w:p>
            <w:pPr>
              <w:spacing w:line="380" w:lineRule="atLeast"/>
              <w:rPr>
                <w:rFonts w:ascii="宋体" w:hAnsi="宋体" w:cs="宋体"/>
                <w:color w:val="auto"/>
                <w:highlight w:val="none"/>
              </w:rPr>
            </w:pPr>
          </w:p>
        </w:tc>
        <w:tc>
          <w:tcPr>
            <w:tcW w:w="953" w:type="dxa"/>
            <w:vAlign w:val="center"/>
          </w:tcPr>
          <w:p>
            <w:pPr>
              <w:spacing w:line="380" w:lineRule="atLeast"/>
              <w:rPr>
                <w:rFonts w:ascii="宋体" w:hAnsi="宋体" w:cs="宋体"/>
                <w:color w:val="auto"/>
                <w:highlight w:val="none"/>
              </w:rPr>
            </w:pPr>
          </w:p>
        </w:tc>
        <w:tc>
          <w:tcPr>
            <w:tcW w:w="1149" w:type="dxa"/>
            <w:vAlign w:val="center"/>
          </w:tcPr>
          <w:p>
            <w:pPr>
              <w:spacing w:line="380" w:lineRule="atLeast"/>
              <w:rPr>
                <w:rFonts w:ascii="宋体" w:hAnsi="宋体" w:cs="宋体"/>
                <w:color w:val="auto"/>
                <w:highlight w:val="none"/>
              </w:rPr>
            </w:pPr>
          </w:p>
        </w:tc>
        <w:tc>
          <w:tcPr>
            <w:tcW w:w="753" w:type="dxa"/>
            <w:vAlign w:val="center"/>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6" w:type="dxa"/>
          </w:tcPr>
          <w:p>
            <w:pPr>
              <w:spacing w:line="380" w:lineRule="atLeast"/>
              <w:rPr>
                <w:rFonts w:ascii="宋体" w:hAnsi="宋体" w:cs="宋体"/>
                <w:color w:val="auto"/>
                <w:highlight w:val="none"/>
              </w:rPr>
            </w:pPr>
          </w:p>
        </w:tc>
        <w:tc>
          <w:tcPr>
            <w:tcW w:w="1183" w:type="dxa"/>
          </w:tcPr>
          <w:p>
            <w:pPr>
              <w:spacing w:line="380" w:lineRule="atLeast"/>
              <w:rPr>
                <w:rFonts w:ascii="宋体" w:hAnsi="宋体" w:cs="宋体"/>
                <w:color w:val="auto"/>
                <w:highlight w:val="none"/>
              </w:rPr>
            </w:pPr>
          </w:p>
        </w:tc>
        <w:tc>
          <w:tcPr>
            <w:tcW w:w="829" w:type="dxa"/>
          </w:tcPr>
          <w:p>
            <w:pPr>
              <w:spacing w:line="380" w:lineRule="atLeast"/>
              <w:rPr>
                <w:rFonts w:ascii="宋体" w:hAnsi="宋体" w:cs="宋体"/>
                <w:color w:val="auto"/>
                <w:highlight w:val="none"/>
              </w:rPr>
            </w:pPr>
          </w:p>
        </w:tc>
        <w:tc>
          <w:tcPr>
            <w:tcW w:w="1078" w:type="dxa"/>
          </w:tcPr>
          <w:p>
            <w:pPr>
              <w:spacing w:line="380" w:lineRule="atLeast"/>
              <w:rPr>
                <w:rFonts w:ascii="宋体" w:hAnsi="宋体" w:cs="宋体"/>
                <w:color w:val="auto"/>
                <w:highlight w:val="none"/>
              </w:rPr>
            </w:pPr>
          </w:p>
        </w:tc>
        <w:tc>
          <w:tcPr>
            <w:tcW w:w="732" w:type="dxa"/>
          </w:tcPr>
          <w:p>
            <w:pPr>
              <w:spacing w:line="380" w:lineRule="atLeast"/>
              <w:rPr>
                <w:rFonts w:ascii="宋体" w:hAnsi="宋体" w:cs="宋体"/>
                <w:color w:val="auto"/>
                <w:highlight w:val="none"/>
              </w:rPr>
            </w:pPr>
          </w:p>
        </w:tc>
        <w:tc>
          <w:tcPr>
            <w:tcW w:w="804" w:type="dxa"/>
          </w:tcPr>
          <w:p>
            <w:pPr>
              <w:spacing w:line="380" w:lineRule="atLeast"/>
              <w:rPr>
                <w:rFonts w:ascii="宋体" w:hAnsi="宋体" w:cs="宋体"/>
                <w:color w:val="auto"/>
                <w:highlight w:val="none"/>
              </w:rPr>
            </w:pPr>
          </w:p>
        </w:tc>
        <w:tc>
          <w:tcPr>
            <w:tcW w:w="1320" w:type="dxa"/>
          </w:tcPr>
          <w:p>
            <w:pPr>
              <w:spacing w:line="380" w:lineRule="atLeast"/>
              <w:rPr>
                <w:rFonts w:ascii="宋体" w:hAnsi="宋体" w:cs="宋体"/>
                <w:color w:val="auto"/>
                <w:highlight w:val="none"/>
              </w:rPr>
            </w:pPr>
          </w:p>
        </w:tc>
        <w:tc>
          <w:tcPr>
            <w:tcW w:w="953" w:type="dxa"/>
          </w:tcPr>
          <w:p>
            <w:pPr>
              <w:spacing w:line="380" w:lineRule="atLeast"/>
              <w:rPr>
                <w:rFonts w:ascii="宋体" w:hAnsi="宋体" w:cs="宋体"/>
                <w:color w:val="auto"/>
                <w:highlight w:val="none"/>
              </w:rPr>
            </w:pPr>
          </w:p>
        </w:tc>
        <w:tc>
          <w:tcPr>
            <w:tcW w:w="1149" w:type="dxa"/>
          </w:tcPr>
          <w:p>
            <w:pPr>
              <w:spacing w:line="380" w:lineRule="atLeast"/>
              <w:rPr>
                <w:rFonts w:ascii="宋体" w:hAnsi="宋体" w:cs="宋体"/>
                <w:color w:val="auto"/>
                <w:highlight w:val="none"/>
              </w:rPr>
            </w:pPr>
          </w:p>
        </w:tc>
        <w:tc>
          <w:tcPr>
            <w:tcW w:w="753" w:type="dxa"/>
          </w:tcPr>
          <w:p>
            <w:pPr>
              <w:spacing w:line="380" w:lineRule="atLeast"/>
              <w:rPr>
                <w:rFonts w:ascii="宋体" w:hAnsi="宋体" w:cs="宋体"/>
                <w:color w:val="auto"/>
                <w:highlight w:val="none"/>
              </w:rPr>
            </w:pPr>
          </w:p>
        </w:tc>
      </w:tr>
    </w:tbl>
    <w:p>
      <w:pPr>
        <w:spacing w:line="360" w:lineRule="auto"/>
        <w:outlineLvl w:val="9"/>
        <w:rPr>
          <w:rFonts w:ascii="宋体" w:hAnsi="宋体" w:cs="宋体"/>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pStyle w:val="30"/>
        <w:outlineLvl w:val="9"/>
        <w:rPr>
          <w:color w:val="auto"/>
          <w:highlight w:val="none"/>
        </w:rPr>
      </w:pPr>
    </w:p>
    <w:p>
      <w:pPr>
        <w:jc w:val="center"/>
        <w:outlineLvl w:val="9"/>
        <w:rPr>
          <w:rFonts w:hAnsi="宋体" w:cs="宋体"/>
          <w:color w:val="auto"/>
          <w:sz w:val="20"/>
          <w:szCs w:val="20"/>
          <w:highlight w:val="none"/>
        </w:rPr>
      </w:pPr>
    </w:p>
    <w:p>
      <w:pPr>
        <w:pStyle w:val="8"/>
        <w:outlineLvl w:val="3"/>
        <w:rPr>
          <w:color w:val="auto"/>
          <w:highlight w:val="none"/>
        </w:rPr>
      </w:pPr>
      <w:bookmarkStart w:id="2971" w:name="_Toc10223"/>
      <w:bookmarkStart w:id="2972" w:name="_Toc20877"/>
      <w:bookmarkStart w:id="2973" w:name="_Toc27657"/>
      <w:bookmarkStart w:id="2974" w:name="_Toc5347"/>
      <w:bookmarkStart w:id="2975" w:name="_Toc433399544"/>
      <w:bookmarkStart w:id="2976" w:name="_Toc693188325"/>
      <w:bookmarkStart w:id="2977" w:name="_Toc432378477"/>
      <w:bookmarkStart w:id="2978" w:name="_Toc21647"/>
      <w:r>
        <w:rPr>
          <w:rFonts w:hint="eastAsia"/>
          <w:color w:val="auto"/>
          <w:highlight w:val="none"/>
        </w:rPr>
        <w:t>附表三：拟投入本标段的劳动力计划表</w:t>
      </w:r>
      <w:bookmarkEnd w:id="2971"/>
      <w:bookmarkEnd w:id="2972"/>
      <w:bookmarkEnd w:id="2973"/>
      <w:bookmarkEnd w:id="2974"/>
      <w:bookmarkEnd w:id="2975"/>
      <w:bookmarkEnd w:id="2976"/>
      <w:bookmarkEnd w:id="2977"/>
      <w:bookmarkEnd w:id="2978"/>
    </w:p>
    <w:p>
      <w:pPr>
        <w:jc w:val="center"/>
        <w:rPr>
          <w:rFonts w:ascii="宋体" w:hAnsi="宋体" w:cs="宋体"/>
          <w:b/>
          <w:color w:val="auto"/>
          <w:sz w:val="28"/>
          <w:szCs w:val="28"/>
          <w:highlight w:val="none"/>
        </w:rPr>
      </w:pPr>
    </w:p>
    <w:p>
      <w:pPr>
        <w:jc w:val="center"/>
        <w:rPr>
          <w:rFonts w:ascii="宋体" w:hAnsi="宋体" w:cs="宋体"/>
          <w:b/>
          <w:color w:val="auto"/>
          <w:sz w:val="28"/>
          <w:szCs w:val="28"/>
          <w:highlight w:val="none"/>
        </w:rPr>
      </w:pPr>
      <w:r>
        <w:rPr>
          <w:rFonts w:hint="eastAsia" w:ascii="宋体" w:hAnsi="宋体" w:cs="宋体"/>
          <w:b/>
          <w:color w:val="auto"/>
          <w:sz w:val="28"/>
          <w:szCs w:val="28"/>
          <w:highlight w:val="none"/>
        </w:rPr>
        <w:t>拟投入本标段的劳动力计划表</w:t>
      </w:r>
    </w:p>
    <w:p>
      <w:pPr>
        <w:spacing w:line="440" w:lineRule="exact"/>
        <w:ind w:right="200"/>
        <w:jc w:val="right"/>
        <w:rPr>
          <w:rFonts w:ascii="宋体" w:hAnsi="宋体" w:cs="宋体"/>
          <w:color w:val="auto"/>
          <w:szCs w:val="21"/>
          <w:highlight w:val="none"/>
        </w:rPr>
      </w:pPr>
      <w:r>
        <w:rPr>
          <w:rFonts w:hint="eastAsia" w:ascii="宋体" w:hAnsi="宋体" w:cs="宋体"/>
          <w:color w:val="auto"/>
          <w:szCs w:val="21"/>
          <w:highlight w:val="none"/>
        </w:rPr>
        <w:t>单位：人</w:t>
      </w:r>
    </w:p>
    <w:tbl>
      <w:tblPr>
        <w:tblStyle w:val="2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1420"/>
        <w:gridCol w:w="1161"/>
        <w:gridCol w:w="1161"/>
        <w:gridCol w:w="1161"/>
        <w:gridCol w:w="1161"/>
        <w:gridCol w:w="1161"/>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工种</w:t>
            </w:r>
          </w:p>
        </w:tc>
        <w:tc>
          <w:tcPr>
            <w:tcW w:w="8384" w:type="dxa"/>
            <w:gridSpan w:val="7"/>
            <w:vAlign w:val="center"/>
          </w:tcPr>
          <w:p>
            <w:pPr>
              <w:spacing w:line="380" w:lineRule="atLeast"/>
              <w:jc w:val="center"/>
              <w:rPr>
                <w:rFonts w:ascii="宋体" w:hAnsi="宋体" w:cs="宋体"/>
                <w:color w:val="auto"/>
                <w:highlight w:val="none"/>
              </w:rPr>
            </w:pPr>
            <w:r>
              <w:rPr>
                <w:rFonts w:hint="eastAsia" w:ascii="宋体" w:hAnsi="宋体" w:cs="宋体"/>
                <w:color w:val="auto"/>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vAlign w:val="center"/>
          </w:tcPr>
          <w:p>
            <w:pPr>
              <w:spacing w:line="380" w:lineRule="atLeast"/>
              <w:jc w:val="center"/>
              <w:rPr>
                <w:rFonts w:ascii="宋体" w:hAnsi="宋体" w:cs="宋体"/>
                <w:color w:val="auto"/>
                <w:highlight w:val="none"/>
              </w:rPr>
            </w:pPr>
          </w:p>
        </w:tc>
        <w:tc>
          <w:tcPr>
            <w:tcW w:w="1420"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59" w:type="dxa"/>
            <w:vAlign w:val="center"/>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vAlign w:val="center"/>
          </w:tcPr>
          <w:p>
            <w:pPr>
              <w:spacing w:line="380" w:lineRule="atLeast"/>
              <w:jc w:val="center"/>
              <w:rPr>
                <w:rFonts w:ascii="宋体" w:hAnsi="宋体" w:cs="宋体"/>
                <w:color w:val="auto"/>
                <w:highlight w:val="none"/>
              </w:rPr>
            </w:pPr>
          </w:p>
        </w:tc>
        <w:tc>
          <w:tcPr>
            <w:tcW w:w="1420"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61" w:type="dxa"/>
            <w:vAlign w:val="center"/>
          </w:tcPr>
          <w:p>
            <w:pPr>
              <w:spacing w:line="380" w:lineRule="atLeast"/>
              <w:jc w:val="center"/>
              <w:rPr>
                <w:rFonts w:ascii="宋体" w:hAnsi="宋体" w:cs="宋体"/>
                <w:color w:val="auto"/>
                <w:highlight w:val="none"/>
              </w:rPr>
            </w:pPr>
          </w:p>
        </w:tc>
        <w:tc>
          <w:tcPr>
            <w:tcW w:w="1159" w:type="dxa"/>
            <w:vAlign w:val="center"/>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2" w:type="dxa"/>
          </w:tcPr>
          <w:p>
            <w:pPr>
              <w:spacing w:line="380" w:lineRule="atLeast"/>
              <w:jc w:val="center"/>
              <w:rPr>
                <w:rFonts w:ascii="宋体" w:hAnsi="宋体" w:cs="宋体"/>
                <w:color w:val="auto"/>
                <w:highlight w:val="none"/>
              </w:rPr>
            </w:pPr>
          </w:p>
        </w:tc>
        <w:tc>
          <w:tcPr>
            <w:tcW w:w="1420"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61" w:type="dxa"/>
          </w:tcPr>
          <w:p>
            <w:pPr>
              <w:spacing w:line="380" w:lineRule="atLeast"/>
              <w:jc w:val="center"/>
              <w:rPr>
                <w:rFonts w:ascii="宋体" w:hAnsi="宋体" w:cs="宋体"/>
                <w:color w:val="auto"/>
                <w:highlight w:val="none"/>
              </w:rPr>
            </w:pPr>
          </w:p>
        </w:tc>
        <w:tc>
          <w:tcPr>
            <w:tcW w:w="1159" w:type="dxa"/>
          </w:tcPr>
          <w:p>
            <w:pPr>
              <w:spacing w:line="380" w:lineRule="atLeast"/>
              <w:jc w:val="center"/>
              <w:rPr>
                <w:rFonts w:ascii="宋体" w:hAnsi="宋体" w:cs="宋体"/>
                <w:color w:val="auto"/>
                <w:highlight w:val="none"/>
              </w:rPr>
            </w:pPr>
          </w:p>
        </w:tc>
      </w:tr>
    </w:tbl>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380" w:lineRule="atLeast"/>
        <w:jc w:val="center"/>
        <w:rPr>
          <w:rFonts w:ascii="宋体" w:hAnsi="宋体" w:cs="宋体"/>
          <w:color w:val="auto"/>
          <w:highlight w:val="none"/>
        </w:rPr>
      </w:pPr>
    </w:p>
    <w:p>
      <w:pPr>
        <w:spacing w:line="360" w:lineRule="auto"/>
        <w:rPr>
          <w:color w:val="auto"/>
          <w:highlight w:val="none"/>
        </w:rPr>
      </w:pPr>
    </w:p>
    <w:p>
      <w:pPr>
        <w:pStyle w:val="8"/>
        <w:rPr>
          <w:color w:val="auto"/>
          <w:highlight w:val="none"/>
        </w:rPr>
      </w:pPr>
      <w:bookmarkStart w:id="2979" w:name="_Toc25076"/>
      <w:bookmarkStart w:id="2980" w:name="_Toc432378478"/>
      <w:bookmarkStart w:id="2981" w:name="_Toc28076"/>
      <w:bookmarkStart w:id="2982" w:name="_Toc30086"/>
      <w:bookmarkStart w:id="2983" w:name="_Toc14748681"/>
      <w:bookmarkStart w:id="2984" w:name="_Toc320"/>
      <w:bookmarkStart w:id="2985" w:name="_Toc433399545"/>
      <w:bookmarkStart w:id="2986" w:name="_Toc4198"/>
    </w:p>
    <w:p>
      <w:pPr>
        <w:pStyle w:val="8"/>
        <w:outlineLvl w:val="3"/>
        <w:rPr>
          <w:color w:val="auto"/>
          <w:highlight w:val="none"/>
        </w:rPr>
      </w:pPr>
      <w:r>
        <w:rPr>
          <w:rFonts w:hint="eastAsia"/>
          <w:color w:val="auto"/>
          <w:highlight w:val="none"/>
        </w:rPr>
        <w:t>附表四：计划开工日期、完工日期和施工进度网络图</w:t>
      </w:r>
      <w:bookmarkEnd w:id="2979"/>
      <w:bookmarkEnd w:id="2980"/>
      <w:bookmarkEnd w:id="2981"/>
      <w:bookmarkEnd w:id="2982"/>
      <w:bookmarkEnd w:id="2983"/>
      <w:bookmarkEnd w:id="2984"/>
      <w:bookmarkEnd w:id="2985"/>
      <w:bookmarkEnd w:id="2986"/>
    </w:p>
    <w:p>
      <w:pPr>
        <w:jc w:val="center"/>
        <w:rPr>
          <w:rFonts w:ascii="宋体" w:hAnsi="宋体" w:cs="宋体"/>
          <w:b/>
          <w:color w:val="auto"/>
          <w:sz w:val="28"/>
          <w:szCs w:val="28"/>
          <w:highlight w:val="none"/>
        </w:rPr>
      </w:pPr>
    </w:p>
    <w:p>
      <w:pPr>
        <w:jc w:val="center"/>
        <w:rPr>
          <w:rFonts w:ascii="宋体" w:hAnsi="宋体" w:cs="宋体"/>
          <w:b/>
          <w:color w:val="auto"/>
          <w:sz w:val="28"/>
          <w:szCs w:val="28"/>
          <w:highlight w:val="none"/>
        </w:rPr>
      </w:pPr>
      <w:r>
        <w:rPr>
          <w:rFonts w:hint="eastAsia" w:ascii="宋体" w:hAnsi="宋体" w:cs="宋体"/>
          <w:b/>
          <w:color w:val="auto"/>
          <w:sz w:val="28"/>
          <w:szCs w:val="28"/>
          <w:highlight w:val="none"/>
        </w:rPr>
        <w:t>计划开工日期、完工日期和施工进度网络图</w:t>
      </w:r>
    </w:p>
    <w:p>
      <w:pPr>
        <w:spacing w:line="440" w:lineRule="exact"/>
        <w:rPr>
          <w:rFonts w:ascii="宋体" w:hAnsi="宋体" w:cs="宋体"/>
          <w:color w:val="auto"/>
          <w:sz w:val="20"/>
          <w:szCs w:val="20"/>
          <w:highlight w:val="none"/>
        </w:rPr>
      </w:pPr>
    </w:p>
    <w:p>
      <w:pPr>
        <w:spacing w:line="440" w:lineRule="exact"/>
        <w:ind w:firstLine="420" w:firstLineChars="200"/>
        <w:rPr>
          <w:rFonts w:ascii="宋体" w:hAnsi="宋体" w:cs="宋体"/>
          <w:color w:val="auto"/>
          <w:szCs w:val="21"/>
          <w:highlight w:val="none"/>
        </w:rPr>
      </w:pPr>
      <w:r>
        <w:rPr>
          <w:rFonts w:hint="eastAsia" w:cs="宋体"/>
          <w:color w:val="auto"/>
          <w:szCs w:val="21"/>
          <w:highlight w:val="none"/>
        </w:rPr>
        <w:t>1</w:t>
      </w:r>
      <w:r>
        <w:rPr>
          <w:rFonts w:hint="eastAsia" w:ascii="宋体" w:hAnsi="宋体" w:cs="宋体"/>
          <w:color w:val="auto"/>
          <w:szCs w:val="21"/>
          <w:highlight w:val="none"/>
        </w:rPr>
        <w:t>. 投标人应递交施工进度网络图或施工进度表，说明按招标文件要求的计划工期进行施工的各个关键日期。</w:t>
      </w:r>
    </w:p>
    <w:p>
      <w:pPr>
        <w:spacing w:line="440" w:lineRule="exact"/>
        <w:ind w:firstLine="420" w:firstLineChars="200"/>
        <w:rPr>
          <w:rFonts w:ascii="宋体" w:hAnsi="宋体" w:cs="宋体"/>
          <w:color w:val="auto"/>
          <w:szCs w:val="21"/>
          <w:highlight w:val="none"/>
        </w:rPr>
      </w:pPr>
      <w:r>
        <w:rPr>
          <w:rFonts w:hint="eastAsia" w:cs="宋体"/>
          <w:color w:val="auto"/>
          <w:szCs w:val="21"/>
          <w:highlight w:val="none"/>
        </w:rPr>
        <w:t>2</w:t>
      </w:r>
      <w:r>
        <w:rPr>
          <w:rFonts w:hint="eastAsia" w:ascii="宋体" w:hAnsi="宋体" w:cs="宋体"/>
          <w:color w:val="auto"/>
          <w:szCs w:val="21"/>
          <w:highlight w:val="none"/>
        </w:rPr>
        <w:t>. 施工进度表可采用网络图（或横道图）表示。</w:t>
      </w: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360" w:lineRule="auto"/>
        <w:rPr>
          <w:color w:val="auto"/>
          <w:highlight w:val="none"/>
        </w:rPr>
      </w:pPr>
    </w:p>
    <w:p>
      <w:pPr>
        <w:spacing w:line="440" w:lineRule="exact"/>
        <w:rPr>
          <w:rFonts w:ascii="宋体" w:hAnsi="宋体" w:cs="宋体"/>
          <w:color w:val="auto"/>
          <w:sz w:val="20"/>
          <w:szCs w:val="20"/>
          <w:highlight w:val="none"/>
        </w:rPr>
      </w:pPr>
    </w:p>
    <w:p>
      <w:pPr>
        <w:pStyle w:val="8"/>
        <w:outlineLvl w:val="3"/>
        <w:rPr>
          <w:color w:val="auto"/>
          <w:highlight w:val="none"/>
        </w:rPr>
      </w:pPr>
      <w:bookmarkStart w:id="2987" w:name="_Toc12362"/>
      <w:bookmarkStart w:id="2988" w:name="_Toc432378479"/>
      <w:bookmarkStart w:id="2989" w:name="_Toc15167"/>
      <w:bookmarkStart w:id="2990" w:name="_Toc13040"/>
      <w:bookmarkStart w:id="2991" w:name="_Toc1126343642"/>
      <w:bookmarkStart w:id="2992" w:name="_Toc433399546"/>
      <w:bookmarkStart w:id="2993" w:name="_Toc32752"/>
      <w:bookmarkStart w:id="2994" w:name="_Toc1361"/>
      <w:r>
        <w:rPr>
          <w:rFonts w:hint="eastAsia"/>
          <w:color w:val="auto"/>
          <w:highlight w:val="none"/>
        </w:rPr>
        <w:t>附表五：施工总平面图</w:t>
      </w:r>
      <w:bookmarkEnd w:id="2987"/>
      <w:bookmarkEnd w:id="2988"/>
      <w:bookmarkEnd w:id="2989"/>
      <w:bookmarkEnd w:id="2990"/>
      <w:bookmarkEnd w:id="2991"/>
      <w:bookmarkEnd w:id="2992"/>
      <w:bookmarkEnd w:id="2993"/>
      <w:bookmarkEnd w:id="2994"/>
    </w:p>
    <w:p>
      <w:pPr>
        <w:jc w:val="center"/>
        <w:rPr>
          <w:rFonts w:ascii="宋体" w:hAnsi="宋体" w:cs="宋体"/>
          <w:b/>
          <w:color w:val="auto"/>
          <w:sz w:val="28"/>
          <w:szCs w:val="28"/>
          <w:highlight w:val="none"/>
        </w:rPr>
      </w:pPr>
    </w:p>
    <w:p>
      <w:pPr>
        <w:jc w:val="center"/>
        <w:rPr>
          <w:rFonts w:ascii="宋体" w:hAnsi="宋体" w:cs="宋体"/>
          <w:b/>
          <w:color w:val="auto"/>
          <w:sz w:val="28"/>
          <w:szCs w:val="28"/>
          <w:highlight w:val="none"/>
        </w:rPr>
      </w:pPr>
      <w:r>
        <w:rPr>
          <w:rFonts w:hint="eastAsia" w:ascii="宋体" w:hAnsi="宋体" w:cs="宋体"/>
          <w:b/>
          <w:color w:val="auto"/>
          <w:sz w:val="28"/>
          <w:szCs w:val="28"/>
          <w:highlight w:val="none"/>
        </w:rPr>
        <w:t>施工总平面图</w:t>
      </w:r>
    </w:p>
    <w:p>
      <w:pPr>
        <w:spacing w:line="440" w:lineRule="exact"/>
        <w:rPr>
          <w:rFonts w:ascii="宋体" w:hAnsi="宋体" w:cs="宋体"/>
          <w:color w:val="auto"/>
          <w:sz w:val="20"/>
          <w:szCs w:val="20"/>
          <w:highlight w:val="none"/>
        </w:rPr>
      </w:pPr>
      <w:r>
        <w:rPr>
          <w:rFonts w:hint="eastAsia" w:ascii="宋体" w:hAnsi="宋体" w:cs="宋体"/>
          <w:color w:val="auto"/>
          <w:sz w:val="20"/>
          <w:szCs w:val="20"/>
          <w:highlight w:val="none"/>
        </w:rPr>
        <w:tab/>
      </w:r>
    </w:p>
    <w:p>
      <w:pPr>
        <w:spacing w:line="44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投标人应递交一份施工总平面图，绘出现场临时设施布置图及表并附文字说明，说明临时设施、加工车间、现场办公、设备及仓储、供电、供水、卫生、生活、道路、消防等设施的情况和布置。</w:t>
      </w: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pStyle w:val="15"/>
        <w:rPr>
          <w:rFonts w:ascii="宋体" w:hAnsi="宋体" w:cs="宋体"/>
          <w:color w:val="auto"/>
          <w:sz w:val="20"/>
          <w:szCs w:val="20"/>
          <w:highlight w:val="none"/>
        </w:rPr>
      </w:pPr>
    </w:p>
    <w:p>
      <w:pPr>
        <w:pStyle w:val="15"/>
        <w:rPr>
          <w:rFonts w:ascii="宋体" w:hAnsi="宋体" w:cs="宋体"/>
          <w:color w:val="auto"/>
          <w:sz w:val="20"/>
          <w:szCs w:val="20"/>
          <w:highlight w:val="none"/>
        </w:rPr>
      </w:pPr>
    </w:p>
    <w:p>
      <w:pPr>
        <w:pStyle w:val="15"/>
        <w:rPr>
          <w:rFonts w:ascii="宋体" w:hAnsi="宋体" w:cs="宋体"/>
          <w:color w:val="auto"/>
          <w:sz w:val="20"/>
          <w:szCs w:val="20"/>
          <w:highlight w:val="none"/>
        </w:rPr>
      </w:pPr>
    </w:p>
    <w:p>
      <w:pPr>
        <w:pStyle w:val="15"/>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spacing w:line="440" w:lineRule="exact"/>
        <w:rPr>
          <w:rFonts w:ascii="宋体" w:hAnsi="宋体" w:cs="宋体"/>
          <w:color w:val="auto"/>
          <w:sz w:val="20"/>
          <w:szCs w:val="20"/>
          <w:highlight w:val="none"/>
        </w:rPr>
      </w:pPr>
    </w:p>
    <w:p>
      <w:pPr>
        <w:pStyle w:val="8"/>
        <w:outlineLvl w:val="3"/>
        <w:rPr>
          <w:color w:val="auto"/>
          <w:highlight w:val="none"/>
        </w:rPr>
      </w:pPr>
      <w:bookmarkStart w:id="2995" w:name="_Toc433399547"/>
      <w:bookmarkStart w:id="2996" w:name="_Toc1952574814"/>
      <w:bookmarkStart w:id="2997" w:name="_Toc432378480"/>
      <w:bookmarkStart w:id="2998" w:name="_Toc28338"/>
      <w:bookmarkStart w:id="2999" w:name="_Toc31000"/>
      <w:bookmarkStart w:id="3000" w:name="_Toc18244"/>
      <w:bookmarkStart w:id="3001" w:name="_Toc9810"/>
      <w:bookmarkStart w:id="3002" w:name="_Toc27953"/>
      <w:r>
        <w:rPr>
          <w:rFonts w:hint="eastAsia"/>
          <w:color w:val="auto"/>
          <w:highlight w:val="none"/>
        </w:rPr>
        <w:t>附表六：临时用地表</w:t>
      </w:r>
      <w:bookmarkEnd w:id="2995"/>
      <w:bookmarkEnd w:id="2996"/>
      <w:bookmarkEnd w:id="2997"/>
      <w:bookmarkEnd w:id="2998"/>
      <w:bookmarkEnd w:id="2999"/>
      <w:bookmarkEnd w:id="3000"/>
      <w:bookmarkEnd w:id="3001"/>
      <w:bookmarkEnd w:id="3002"/>
    </w:p>
    <w:p>
      <w:pPr>
        <w:jc w:val="center"/>
        <w:rPr>
          <w:rFonts w:ascii="宋体" w:hAnsi="宋体" w:cs="宋体"/>
          <w:b/>
          <w:color w:val="auto"/>
          <w:sz w:val="28"/>
          <w:szCs w:val="28"/>
          <w:highlight w:val="none"/>
        </w:rPr>
      </w:pPr>
    </w:p>
    <w:p>
      <w:pPr>
        <w:jc w:val="center"/>
        <w:rPr>
          <w:rFonts w:ascii="宋体" w:hAnsi="宋体" w:cs="宋体"/>
          <w:color w:val="auto"/>
          <w:highlight w:val="none"/>
        </w:rPr>
      </w:pPr>
      <w:r>
        <w:rPr>
          <w:rFonts w:hint="eastAsia" w:ascii="宋体" w:hAnsi="宋体" w:cs="宋体"/>
          <w:b/>
          <w:color w:val="auto"/>
          <w:sz w:val="28"/>
          <w:szCs w:val="28"/>
          <w:highlight w:val="none"/>
        </w:rPr>
        <w:t>临时用地表</w:t>
      </w:r>
    </w:p>
    <w:p>
      <w:pPr>
        <w:spacing w:line="440" w:lineRule="exact"/>
        <w:jc w:val="center"/>
        <w:rPr>
          <w:rFonts w:ascii="宋体" w:hAnsi="宋体" w:cs="宋体"/>
          <w:color w:val="auto"/>
          <w:sz w:val="23"/>
          <w:szCs w:val="23"/>
          <w:highlight w:val="none"/>
        </w:rPr>
      </w:pPr>
    </w:p>
    <w:tbl>
      <w:tblPr>
        <w:tblStyle w:val="2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1"/>
        <w:gridCol w:w="2321"/>
        <w:gridCol w:w="2322"/>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r>
              <w:rPr>
                <w:rFonts w:hint="eastAsia" w:ascii="宋体" w:hAnsi="宋体" w:cs="宋体"/>
                <w:color w:val="auto"/>
                <w:highlight w:val="none"/>
              </w:rPr>
              <w:t>用 途</w:t>
            </w:r>
          </w:p>
        </w:tc>
        <w:tc>
          <w:tcPr>
            <w:tcW w:w="2321" w:type="dxa"/>
          </w:tcPr>
          <w:p>
            <w:pPr>
              <w:spacing w:line="380" w:lineRule="atLeast"/>
              <w:jc w:val="center"/>
              <w:rPr>
                <w:rFonts w:ascii="宋体" w:hAnsi="宋体" w:cs="宋体"/>
                <w:color w:val="auto"/>
                <w:highlight w:val="none"/>
              </w:rPr>
            </w:pPr>
            <w:r>
              <w:rPr>
                <w:rFonts w:hint="eastAsia" w:ascii="宋体" w:hAnsi="宋体" w:cs="宋体"/>
                <w:color w:val="auto"/>
                <w:highlight w:val="none"/>
              </w:rPr>
              <w:t>面 积（m</w:t>
            </w:r>
            <w:r>
              <w:rPr>
                <w:rFonts w:hint="eastAsia" w:cs="宋体"/>
                <w:color w:val="auto"/>
                <w:highlight w:val="none"/>
                <w:vertAlign w:val="superscript"/>
              </w:rPr>
              <w:t>2</w:t>
            </w:r>
            <w:r>
              <w:rPr>
                <w:rFonts w:hint="eastAsia" w:ascii="宋体" w:hAnsi="宋体" w:cs="宋体"/>
                <w:color w:val="auto"/>
                <w:highlight w:val="none"/>
              </w:rPr>
              <w:t>）</w:t>
            </w:r>
          </w:p>
        </w:tc>
        <w:tc>
          <w:tcPr>
            <w:tcW w:w="2322" w:type="dxa"/>
          </w:tcPr>
          <w:p>
            <w:pPr>
              <w:spacing w:line="380" w:lineRule="atLeast"/>
              <w:jc w:val="center"/>
              <w:rPr>
                <w:rFonts w:ascii="宋体" w:hAnsi="宋体" w:cs="宋体"/>
                <w:color w:val="auto"/>
                <w:highlight w:val="none"/>
              </w:rPr>
            </w:pPr>
            <w:r>
              <w:rPr>
                <w:rFonts w:hint="eastAsia" w:ascii="宋体" w:hAnsi="宋体" w:cs="宋体"/>
                <w:color w:val="auto"/>
                <w:highlight w:val="none"/>
              </w:rPr>
              <w:t>位 置</w:t>
            </w:r>
          </w:p>
        </w:tc>
        <w:tc>
          <w:tcPr>
            <w:tcW w:w="2322" w:type="dxa"/>
          </w:tcPr>
          <w:p>
            <w:pPr>
              <w:spacing w:line="380" w:lineRule="atLeast"/>
              <w:jc w:val="center"/>
              <w:rPr>
                <w:rFonts w:ascii="宋体" w:hAnsi="宋体" w:cs="宋体"/>
                <w:color w:val="auto"/>
                <w:highlight w:val="none"/>
              </w:rPr>
            </w:pPr>
            <w:r>
              <w:rPr>
                <w:rFonts w:hint="eastAsia" w:ascii="宋体" w:hAnsi="宋体" w:cs="宋体"/>
                <w:color w:val="auto"/>
                <w:highlight w:val="none"/>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line="380" w:lineRule="atLeast"/>
              <w:jc w:val="center"/>
              <w:rPr>
                <w:rFonts w:ascii="宋体" w:hAnsi="宋体" w:cs="宋体"/>
                <w:color w:val="auto"/>
                <w:highlight w:val="none"/>
              </w:rPr>
            </w:pPr>
          </w:p>
        </w:tc>
        <w:tc>
          <w:tcPr>
            <w:tcW w:w="2321"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c>
          <w:tcPr>
            <w:tcW w:w="2322" w:type="dxa"/>
          </w:tcPr>
          <w:p>
            <w:pPr>
              <w:spacing w:line="380" w:lineRule="atLeast"/>
              <w:jc w:val="center"/>
              <w:rPr>
                <w:rFonts w:ascii="宋体" w:hAnsi="宋体" w:cs="宋体"/>
                <w:color w:val="auto"/>
                <w:highlight w:val="none"/>
              </w:rPr>
            </w:pPr>
          </w:p>
        </w:tc>
      </w:tr>
    </w:tbl>
    <w:p>
      <w:pPr>
        <w:rPr>
          <w:color w:val="auto"/>
          <w:highlight w:val="none"/>
        </w:rPr>
      </w:pPr>
    </w:p>
    <w:p>
      <w:pPr>
        <w:rPr>
          <w:color w:val="auto"/>
          <w:highlight w:val="none"/>
        </w:rPr>
      </w:pPr>
    </w:p>
    <w:p>
      <w:pPr>
        <w:rPr>
          <w:color w:val="auto"/>
          <w:highlight w:val="none"/>
        </w:rPr>
        <w:sectPr>
          <w:footerReference r:id="rId9" w:type="default"/>
          <w:footerReference r:id="rId10" w:type="even"/>
          <w:pgSz w:w="11906" w:h="16838"/>
          <w:pgMar w:top="1418" w:right="1418" w:bottom="1418" w:left="1418" w:header="851" w:footer="992" w:gutter="0"/>
          <w:pgNumType w:fmt="decimal"/>
          <w:cols w:space="720" w:num="1"/>
          <w:docGrid w:linePitch="312" w:charSpace="0"/>
        </w:sectPr>
      </w:pPr>
    </w:p>
    <w:p>
      <w:pPr>
        <w:pStyle w:val="20"/>
        <w:jc w:val="center"/>
        <w:outlineLvl w:val="2"/>
        <w:rPr>
          <w:color w:val="auto"/>
          <w:highlight w:val="none"/>
        </w:rPr>
      </w:pPr>
      <w:bookmarkStart w:id="3003" w:name="_Toc2786"/>
      <w:bookmarkStart w:id="3004" w:name="_Toc2004082992"/>
      <w:bookmarkStart w:id="3005" w:name="_Toc6361"/>
      <w:bookmarkStart w:id="3006" w:name="_Toc20175"/>
      <w:bookmarkStart w:id="3007" w:name="_Toc766"/>
      <w:bookmarkStart w:id="3008" w:name="_Toc168475930"/>
      <w:bookmarkStart w:id="3009" w:name="_Toc168476333"/>
      <w:bookmarkStart w:id="3010" w:name="_Toc61624211"/>
      <w:bookmarkStart w:id="3011" w:name="_Toc221952115"/>
      <w:bookmarkStart w:id="3012" w:name="_Toc222029567"/>
      <w:bookmarkStart w:id="3013" w:name="_Toc6433"/>
      <w:bookmarkStart w:id="3014" w:name="_Toc222033918"/>
      <w:bookmarkStart w:id="3015" w:name="_Toc229305427"/>
      <w:bookmarkStart w:id="3016" w:name="_Toc144974871"/>
      <w:bookmarkStart w:id="3017" w:name="_Toc387753633"/>
      <w:bookmarkStart w:id="3018" w:name="_Toc222032736"/>
      <w:bookmarkStart w:id="3019" w:name="_Toc429598773"/>
      <w:bookmarkStart w:id="3020" w:name="_Toc222031069"/>
      <w:bookmarkStart w:id="3021" w:name="_Toc15492"/>
      <w:r>
        <w:rPr>
          <w:rFonts w:hint="eastAsia"/>
          <w:color w:val="auto"/>
          <w:highlight w:val="none"/>
          <w:lang w:val="en-US" w:eastAsia="zh-CN"/>
        </w:rPr>
        <w:t>八</w:t>
      </w:r>
      <w:r>
        <w:rPr>
          <w:color w:val="auto"/>
          <w:highlight w:val="none"/>
        </w:rPr>
        <w:t>、项目管理机构</w:t>
      </w:r>
      <w:bookmarkEnd w:id="3003"/>
      <w:bookmarkEnd w:id="3004"/>
      <w:bookmarkEnd w:id="3005"/>
      <w:bookmarkEnd w:id="3006"/>
      <w:bookmarkEnd w:id="3007"/>
      <w:bookmarkEnd w:id="3008"/>
      <w:bookmarkEnd w:id="3009"/>
      <w:bookmarkEnd w:id="3010"/>
      <w:bookmarkEnd w:id="3011"/>
      <w:bookmarkEnd w:id="3012"/>
      <w:bookmarkEnd w:id="3013"/>
      <w:bookmarkEnd w:id="3014"/>
      <w:bookmarkEnd w:id="3015"/>
      <w:bookmarkEnd w:id="3016"/>
      <w:bookmarkEnd w:id="3017"/>
      <w:bookmarkEnd w:id="3018"/>
      <w:bookmarkEnd w:id="3019"/>
      <w:bookmarkEnd w:id="3020"/>
      <w:bookmarkEnd w:id="3021"/>
    </w:p>
    <w:p>
      <w:pPr>
        <w:rPr>
          <w:color w:val="auto"/>
          <w:highlight w:val="none"/>
        </w:rPr>
      </w:pPr>
    </w:p>
    <w:p>
      <w:pPr>
        <w:pStyle w:val="32"/>
        <w:jc w:val="center"/>
        <w:outlineLvl w:val="3"/>
        <w:rPr>
          <w:b w:val="0"/>
          <w:color w:val="auto"/>
          <w:sz w:val="24"/>
          <w:szCs w:val="24"/>
          <w:highlight w:val="none"/>
        </w:rPr>
      </w:pPr>
      <w:bookmarkStart w:id="3022" w:name="_Toc22442"/>
      <w:bookmarkStart w:id="3023" w:name="_Toc8429"/>
      <w:bookmarkStart w:id="3024" w:name="_Toc1174334492"/>
      <w:bookmarkStart w:id="3025" w:name="_Toc11413"/>
      <w:bookmarkStart w:id="3026" w:name="_Toc426496250"/>
      <w:bookmarkStart w:id="3027" w:name="_Toc1689960166"/>
      <w:bookmarkStart w:id="3028" w:name="_Toc826"/>
      <w:bookmarkStart w:id="3029" w:name="_Toc17962"/>
      <w:bookmarkStart w:id="3030" w:name="_Toc16273"/>
      <w:bookmarkStart w:id="3031" w:name="_Toc429598774"/>
      <w:bookmarkStart w:id="3032" w:name="_Toc109149965"/>
      <w:r>
        <w:rPr>
          <w:rFonts w:hint="eastAsia"/>
          <w:b w:val="0"/>
          <w:color w:val="auto"/>
          <w:sz w:val="24"/>
          <w:szCs w:val="24"/>
          <w:highlight w:val="none"/>
        </w:rPr>
        <w:t>（一）项目管理机构主要人员表</w:t>
      </w:r>
      <w:bookmarkEnd w:id="3022"/>
      <w:bookmarkEnd w:id="3023"/>
      <w:bookmarkEnd w:id="3024"/>
      <w:bookmarkEnd w:id="3025"/>
      <w:bookmarkEnd w:id="3026"/>
      <w:bookmarkEnd w:id="3027"/>
      <w:bookmarkEnd w:id="3028"/>
      <w:bookmarkEnd w:id="3029"/>
      <w:bookmarkEnd w:id="3030"/>
      <w:bookmarkEnd w:id="3031"/>
      <w:bookmarkEnd w:id="3032"/>
    </w:p>
    <w:tbl>
      <w:tblPr>
        <w:tblStyle w:val="28"/>
        <w:tblW w:w="1368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0"/>
        <w:gridCol w:w="1220"/>
        <w:gridCol w:w="790"/>
        <w:gridCol w:w="510"/>
        <w:gridCol w:w="720"/>
        <w:gridCol w:w="720"/>
        <w:gridCol w:w="1210"/>
        <w:gridCol w:w="552"/>
        <w:gridCol w:w="540"/>
        <w:gridCol w:w="540"/>
        <w:gridCol w:w="540"/>
        <w:gridCol w:w="1245"/>
        <w:gridCol w:w="622"/>
        <w:gridCol w:w="1065"/>
        <w:gridCol w:w="1066"/>
        <w:gridCol w:w="108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360" w:type="dxa"/>
            <w:vMerge w:val="restart"/>
            <w:vAlign w:val="center"/>
          </w:tcPr>
          <w:p>
            <w:pPr>
              <w:jc w:val="center"/>
              <w:rPr>
                <w:color w:val="auto"/>
                <w:szCs w:val="21"/>
                <w:highlight w:val="none"/>
              </w:rPr>
            </w:pPr>
            <w:r>
              <w:rPr>
                <w:rFonts w:hint="eastAsia"/>
                <w:color w:val="auto"/>
                <w:szCs w:val="21"/>
                <w:highlight w:val="none"/>
              </w:rPr>
              <w:t>序号</w:t>
            </w:r>
          </w:p>
        </w:tc>
        <w:tc>
          <w:tcPr>
            <w:tcW w:w="1220" w:type="dxa"/>
            <w:vMerge w:val="restart"/>
            <w:vAlign w:val="center"/>
          </w:tcPr>
          <w:p>
            <w:pPr>
              <w:spacing w:line="420" w:lineRule="exact"/>
              <w:jc w:val="center"/>
              <w:rPr>
                <w:color w:val="auto"/>
                <w:szCs w:val="21"/>
                <w:highlight w:val="none"/>
              </w:rPr>
            </w:pPr>
            <w:r>
              <w:rPr>
                <w:rFonts w:hint="eastAsia"/>
                <w:color w:val="auto"/>
                <w:szCs w:val="21"/>
                <w:highlight w:val="none"/>
              </w:rPr>
              <w:t>职务</w:t>
            </w:r>
          </w:p>
        </w:tc>
        <w:tc>
          <w:tcPr>
            <w:tcW w:w="790" w:type="dxa"/>
            <w:vMerge w:val="restart"/>
            <w:vAlign w:val="center"/>
          </w:tcPr>
          <w:p>
            <w:pPr>
              <w:spacing w:line="240" w:lineRule="exact"/>
              <w:jc w:val="center"/>
              <w:rPr>
                <w:color w:val="auto"/>
                <w:szCs w:val="21"/>
                <w:highlight w:val="none"/>
              </w:rPr>
            </w:pPr>
            <w:r>
              <w:rPr>
                <w:rFonts w:hint="eastAsia"/>
                <w:color w:val="auto"/>
                <w:szCs w:val="21"/>
                <w:highlight w:val="none"/>
              </w:rPr>
              <w:t>姓名</w:t>
            </w:r>
          </w:p>
        </w:tc>
        <w:tc>
          <w:tcPr>
            <w:tcW w:w="510" w:type="dxa"/>
            <w:vMerge w:val="restart"/>
            <w:vAlign w:val="center"/>
          </w:tcPr>
          <w:p>
            <w:pPr>
              <w:spacing w:line="240" w:lineRule="exact"/>
              <w:jc w:val="center"/>
              <w:rPr>
                <w:color w:val="auto"/>
                <w:szCs w:val="21"/>
                <w:highlight w:val="none"/>
              </w:rPr>
            </w:pPr>
            <w:r>
              <w:rPr>
                <w:rFonts w:hint="eastAsia"/>
                <w:color w:val="auto"/>
                <w:szCs w:val="21"/>
                <w:highlight w:val="none"/>
              </w:rPr>
              <w:t>性别</w:t>
            </w:r>
          </w:p>
        </w:tc>
        <w:tc>
          <w:tcPr>
            <w:tcW w:w="720" w:type="dxa"/>
            <w:vMerge w:val="restart"/>
            <w:vAlign w:val="center"/>
          </w:tcPr>
          <w:p>
            <w:pPr>
              <w:spacing w:line="240" w:lineRule="exact"/>
              <w:jc w:val="center"/>
              <w:rPr>
                <w:color w:val="auto"/>
                <w:szCs w:val="21"/>
                <w:highlight w:val="none"/>
              </w:rPr>
            </w:pPr>
            <w:r>
              <w:rPr>
                <w:rFonts w:hint="eastAsia"/>
                <w:color w:val="auto"/>
                <w:szCs w:val="21"/>
                <w:highlight w:val="none"/>
              </w:rPr>
              <w:t>年龄</w:t>
            </w:r>
          </w:p>
        </w:tc>
        <w:tc>
          <w:tcPr>
            <w:tcW w:w="720" w:type="dxa"/>
            <w:vMerge w:val="restart"/>
            <w:vAlign w:val="center"/>
          </w:tcPr>
          <w:p>
            <w:pPr>
              <w:spacing w:line="240" w:lineRule="exact"/>
              <w:jc w:val="center"/>
              <w:rPr>
                <w:color w:val="auto"/>
                <w:szCs w:val="21"/>
                <w:highlight w:val="none"/>
              </w:rPr>
            </w:pPr>
            <w:r>
              <w:rPr>
                <w:rFonts w:hint="eastAsia"/>
                <w:color w:val="auto"/>
                <w:szCs w:val="21"/>
                <w:highlight w:val="none"/>
              </w:rPr>
              <w:t>学历</w:t>
            </w:r>
          </w:p>
        </w:tc>
        <w:tc>
          <w:tcPr>
            <w:tcW w:w="1210" w:type="dxa"/>
            <w:vMerge w:val="restart"/>
            <w:vAlign w:val="center"/>
          </w:tcPr>
          <w:p>
            <w:pPr>
              <w:spacing w:line="240" w:lineRule="exact"/>
              <w:jc w:val="center"/>
              <w:rPr>
                <w:color w:val="auto"/>
                <w:szCs w:val="21"/>
                <w:highlight w:val="none"/>
              </w:rPr>
            </w:pPr>
            <w:r>
              <w:rPr>
                <w:rFonts w:hint="eastAsia"/>
                <w:color w:val="auto"/>
                <w:szCs w:val="21"/>
                <w:highlight w:val="none"/>
              </w:rPr>
              <w:t>专业</w:t>
            </w:r>
          </w:p>
        </w:tc>
        <w:tc>
          <w:tcPr>
            <w:tcW w:w="552" w:type="dxa"/>
            <w:vMerge w:val="restart"/>
            <w:vAlign w:val="center"/>
          </w:tcPr>
          <w:p>
            <w:pPr>
              <w:jc w:val="center"/>
              <w:rPr>
                <w:color w:val="auto"/>
                <w:szCs w:val="21"/>
                <w:highlight w:val="none"/>
              </w:rPr>
            </w:pPr>
            <w:r>
              <w:rPr>
                <w:color w:val="auto"/>
                <w:szCs w:val="21"/>
                <w:highlight w:val="none"/>
              </w:rPr>
              <w:t>专业</w:t>
            </w:r>
            <w:r>
              <w:rPr>
                <w:rFonts w:hint="eastAsia"/>
                <w:color w:val="auto"/>
                <w:szCs w:val="21"/>
                <w:highlight w:val="none"/>
              </w:rPr>
              <w:t>工作年限</w:t>
            </w:r>
          </w:p>
        </w:tc>
        <w:tc>
          <w:tcPr>
            <w:tcW w:w="1620" w:type="dxa"/>
            <w:gridSpan w:val="3"/>
            <w:vAlign w:val="center"/>
          </w:tcPr>
          <w:p>
            <w:pPr>
              <w:jc w:val="center"/>
              <w:rPr>
                <w:color w:val="auto"/>
                <w:szCs w:val="21"/>
                <w:highlight w:val="none"/>
              </w:rPr>
            </w:pPr>
            <w:r>
              <w:rPr>
                <w:rFonts w:hint="eastAsia"/>
                <w:color w:val="auto"/>
                <w:szCs w:val="21"/>
                <w:highlight w:val="none"/>
              </w:rPr>
              <w:t>专业技术职称</w:t>
            </w:r>
          </w:p>
        </w:tc>
        <w:tc>
          <w:tcPr>
            <w:tcW w:w="3998" w:type="dxa"/>
            <w:gridSpan w:val="4"/>
            <w:vAlign w:val="center"/>
          </w:tcPr>
          <w:p>
            <w:pPr>
              <w:spacing w:line="420" w:lineRule="exact"/>
              <w:jc w:val="center"/>
              <w:rPr>
                <w:color w:val="auto"/>
                <w:szCs w:val="21"/>
                <w:highlight w:val="none"/>
              </w:rPr>
            </w:pPr>
            <w:r>
              <w:rPr>
                <w:rFonts w:hint="eastAsia" w:ascii="宋体" w:hAnsi="宋体"/>
                <w:color w:val="auto"/>
                <w:szCs w:val="21"/>
                <w:highlight w:val="none"/>
              </w:rPr>
              <w:t>执业或职业资格证明</w:t>
            </w:r>
          </w:p>
        </w:tc>
        <w:tc>
          <w:tcPr>
            <w:tcW w:w="1080" w:type="dxa"/>
            <w:vMerge w:val="restart"/>
            <w:vAlign w:val="center"/>
          </w:tcPr>
          <w:p>
            <w:pPr>
              <w:spacing w:line="420" w:lineRule="exact"/>
              <w:jc w:val="center"/>
              <w:rPr>
                <w:color w:val="auto"/>
                <w:szCs w:val="21"/>
                <w:highlight w:val="none"/>
              </w:rPr>
            </w:pPr>
            <w:r>
              <w:rPr>
                <w:rFonts w:hint="eastAsia" w:ascii="宋体" w:hAnsi="宋体"/>
                <w:color w:val="auto"/>
                <w:szCs w:val="21"/>
                <w:highlight w:val="none"/>
              </w:rPr>
              <w:t>社会保险</w:t>
            </w:r>
          </w:p>
        </w:tc>
        <w:tc>
          <w:tcPr>
            <w:tcW w:w="900" w:type="dxa"/>
            <w:vMerge w:val="restart"/>
            <w:vAlign w:val="center"/>
          </w:tcPr>
          <w:p>
            <w:pPr>
              <w:spacing w:line="420" w:lineRule="exact"/>
              <w:jc w:val="center"/>
              <w:rPr>
                <w:color w:val="auto"/>
                <w:szCs w:val="21"/>
                <w:highlight w:val="none"/>
              </w:rPr>
            </w:pPr>
            <w:r>
              <w:rPr>
                <w:rFonts w:hint="eastAsia"/>
                <w:color w:val="auto"/>
                <w:szCs w:val="21"/>
                <w:highlight w:val="none"/>
              </w:rPr>
              <w:t>执业、</w:t>
            </w:r>
          </w:p>
          <w:p>
            <w:pPr>
              <w:spacing w:line="420" w:lineRule="exact"/>
              <w:jc w:val="center"/>
              <w:rPr>
                <w:color w:val="auto"/>
                <w:szCs w:val="21"/>
                <w:highlight w:val="none"/>
                <w:vertAlign w:val="superscript"/>
              </w:rPr>
            </w:pPr>
            <w:r>
              <w:rPr>
                <w:rFonts w:hint="eastAsia"/>
                <w:color w:val="auto"/>
                <w:szCs w:val="21"/>
                <w:highlight w:val="none"/>
              </w:rPr>
              <w:t>职业单位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360" w:type="dxa"/>
            <w:vMerge w:val="continue"/>
            <w:vAlign w:val="center"/>
          </w:tcPr>
          <w:p>
            <w:pPr>
              <w:jc w:val="center"/>
              <w:rPr>
                <w:color w:val="auto"/>
                <w:szCs w:val="21"/>
                <w:highlight w:val="none"/>
              </w:rPr>
            </w:pPr>
          </w:p>
        </w:tc>
        <w:tc>
          <w:tcPr>
            <w:tcW w:w="1220" w:type="dxa"/>
            <w:vMerge w:val="continue"/>
            <w:vAlign w:val="center"/>
          </w:tcPr>
          <w:p>
            <w:pPr>
              <w:jc w:val="center"/>
              <w:rPr>
                <w:color w:val="auto"/>
                <w:szCs w:val="21"/>
                <w:highlight w:val="none"/>
              </w:rPr>
            </w:pPr>
          </w:p>
        </w:tc>
        <w:tc>
          <w:tcPr>
            <w:tcW w:w="790" w:type="dxa"/>
            <w:vMerge w:val="continue"/>
            <w:vAlign w:val="center"/>
          </w:tcPr>
          <w:p>
            <w:pPr>
              <w:spacing w:line="240" w:lineRule="exact"/>
              <w:jc w:val="center"/>
              <w:rPr>
                <w:color w:val="auto"/>
                <w:szCs w:val="21"/>
                <w:highlight w:val="none"/>
              </w:rPr>
            </w:pPr>
          </w:p>
        </w:tc>
        <w:tc>
          <w:tcPr>
            <w:tcW w:w="510" w:type="dxa"/>
            <w:vMerge w:val="continue"/>
            <w:vAlign w:val="center"/>
          </w:tcPr>
          <w:p>
            <w:pPr>
              <w:spacing w:line="240" w:lineRule="exact"/>
              <w:jc w:val="center"/>
              <w:rPr>
                <w:color w:val="auto"/>
                <w:szCs w:val="21"/>
                <w:highlight w:val="none"/>
              </w:rPr>
            </w:pPr>
          </w:p>
        </w:tc>
        <w:tc>
          <w:tcPr>
            <w:tcW w:w="720" w:type="dxa"/>
            <w:vMerge w:val="continue"/>
            <w:vAlign w:val="center"/>
          </w:tcPr>
          <w:p>
            <w:pPr>
              <w:spacing w:line="240" w:lineRule="exact"/>
              <w:jc w:val="center"/>
              <w:rPr>
                <w:color w:val="auto"/>
                <w:szCs w:val="21"/>
                <w:highlight w:val="none"/>
              </w:rPr>
            </w:pPr>
          </w:p>
        </w:tc>
        <w:tc>
          <w:tcPr>
            <w:tcW w:w="720" w:type="dxa"/>
            <w:vMerge w:val="continue"/>
            <w:vAlign w:val="center"/>
          </w:tcPr>
          <w:p>
            <w:pPr>
              <w:spacing w:line="240" w:lineRule="exact"/>
              <w:jc w:val="center"/>
              <w:rPr>
                <w:color w:val="auto"/>
                <w:szCs w:val="21"/>
                <w:highlight w:val="none"/>
              </w:rPr>
            </w:pPr>
          </w:p>
        </w:tc>
        <w:tc>
          <w:tcPr>
            <w:tcW w:w="1210" w:type="dxa"/>
            <w:vMerge w:val="continue"/>
            <w:vAlign w:val="center"/>
          </w:tcPr>
          <w:p>
            <w:pPr>
              <w:spacing w:line="240" w:lineRule="exact"/>
              <w:jc w:val="center"/>
              <w:rPr>
                <w:color w:val="auto"/>
                <w:szCs w:val="21"/>
                <w:highlight w:val="none"/>
              </w:rPr>
            </w:pPr>
          </w:p>
        </w:tc>
        <w:tc>
          <w:tcPr>
            <w:tcW w:w="552" w:type="dxa"/>
            <w:vMerge w:val="continue"/>
            <w:vAlign w:val="center"/>
          </w:tcPr>
          <w:p>
            <w:pPr>
              <w:jc w:val="center"/>
              <w:rPr>
                <w:color w:val="auto"/>
                <w:szCs w:val="21"/>
                <w:highlight w:val="none"/>
              </w:rPr>
            </w:pPr>
          </w:p>
        </w:tc>
        <w:tc>
          <w:tcPr>
            <w:tcW w:w="540" w:type="dxa"/>
            <w:vAlign w:val="center"/>
          </w:tcPr>
          <w:p>
            <w:pPr>
              <w:jc w:val="center"/>
              <w:rPr>
                <w:color w:val="auto"/>
                <w:szCs w:val="21"/>
                <w:highlight w:val="none"/>
              </w:rPr>
            </w:pPr>
            <w:r>
              <w:rPr>
                <w:rFonts w:hint="eastAsia"/>
                <w:color w:val="auto"/>
                <w:szCs w:val="21"/>
                <w:highlight w:val="none"/>
              </w:rPr>
              <w:t>初级</w:t>
            </w:r>
          </w:p>
        </w:tc>
        <w:tc>
          <w:tcPr>
            <w:tcW w:w="540" w:type="dxa"/>
            <w:vAlign w:val="center"/>
          </w:tcPr>
          <w:p>
            <w:pPr>
              <w:jc w:val="center"/>
              <w:rPr>
                <w:color w:val="auto"/>
                <w:szCs w:val="21"/>
                <w:highlight w:val="none"/>
              </w:rPr>
            </w:pPr>
            <w:r>
              <w:rPr>
                <w:rFonts w:hint="eastAsia"/>
                <w:color w:val="auto"/>
                <w:szCs w:val="21"/>
                <w:highlight w:val="none"/>
              </w:rPr>
              <w:t>中级</w:t>
            </w:r>
          </w:p>
        </w:tc>
        <w:tc>
          <w:tcPr>
            <w:tcW w:w="540" w:type="dxa"/>
            <w:vAlign w:val="center"/>
          </w:tcPr>
          <w:p>
            <w:pPr>
              <w:jc w:val="center"/>
              <w:rPr>
                <w:color w:val="auto"/>
                <w:szCs w:val="21"/>
                <w:highlight w:val="none"/>
              </w:rPr>
            </w:pPr>
            <w:r>
              <w:rPr>
                <w:rFonts w:hint="eastAsia"/>
                <w:color w:val="auto"/>
                <w:szCs w:val="21"/>
                <w:highlight w:val="none"/>
              </w:rPr>
              <w:t>高级</w:t>
            </w:r>
          </w:p>
        </w:tc>
        <w:tc>
          <w:tcPr>
            <w:tcW w:w="1245" w:type="dxa"/>
            <w:vAlign w:val="center"/>
          </w:tcPr>
          <w:p>
            <w:pPr>
              <w:jc w:val="center"/>
              <w:rPr>
                <w:rFonts w:ascii="宋体" w:hAnsi="宋体"/>
                <w:color w:val="auto"/>
                <w:szCs w:val="21"/>
                <w:highlight w:val="none"/>
              </w:rPr>
            </w:pPr>
            <w:r>
              <w:rPr>
                <w:rFonts w:hint="eastAsia" w:ascii="宋体" w:hAnsi="宋体"/>
                <w:color w:val="auto"/>
                <w:szCs w:val="21"/>
                <w:highlight w:val="none"/>
              </w:rPr>
              <w:t>证书名称</w:t>
            </w:r>
          </w:p>
        </w:tc>
        <w:tc>
          <w:tcPr>
            <w:tcW w:w="622" w:type="dxa"/>
            <w:vAlign w:val="center"/>
          </w:tcPr>
          <w:p>
            <w:pPr>
              <w:jc w:val="center"/>
              <w:rPr>
                <w:rFonts w:ascii="宋体" w:hAnsi="宋体"/>
                <w:color w:val="auto"/>
                <w:szCs w:val="21"/>
                <w:highlight w:val="none"/>
              </w:rPr>
            </w:pPr>
            <w:r>
              <w:rPr>
                <w:rFonts w:hint="eastAsia" w:ascii="宋体" w:hAnsi="宋体"/>
                <w:color w:val="auto"/>
                <w:szCs w:val="21"/>
                <w:highlight w:val="none"/>
              </w:rPr>
              <w:t>级别</w:t>
            </w:r>
          </w:p>
        </w:tc>
        <w:tc>
          <w:tcPr>
            <w:tcW w:w="1065" w:type="dxa"/>
            <w:vAlign w:val="center"/>
          </w:tcPr>
          <w:p>
            <w:pPr>
              <w:jc w:val="center"/>
              <w:rPr>
                <w:rFonts w:ascii="宋体" w:hAnsi="宋体"/>
                <w:color w:val="auto"/>
                <w:szCs w:val="21"/>
                <w:highlight w:val="none"/>
              </w:rPr>
            </w:pPr>
            <w:r>
              <w:rPr>
                <w:rFonts w:hint="eastAsia" w:ascii="宋体" w:hAnsi="宋体"/>
                <w:color w:val="auto"/>
                <w:szCs w:val="21"/>
                <w:highlight w:val="none"/>
              </w:rPr>
              <w:t>证号</w:t>
            </w:r>
          </w:p>
        </w:tc>
        <w:tc>
          <w:tcPr>
            <w:tcW w:w="1066" w:type="dxa"/>
            <w:vAlign w:val="center"/>
          </w:tcPr>
          <w:p>
            <w:pPr>
              <w:jc w:val="center"/>
              <w:rPr>
                <w:rFonts w:ascii="宋体" w:hAnsi="宋体"/>
                <w:color w:val="auto"/>
                <w:szCs w:val="21"/>
                <w:highlight w:val="none"/>
              </w:rPr>
            </w:pPr>
            <w:r>
              <w:rPr>
                <w:rFonts w:hint="eastAsia" w:ascii="宋体" w:hAnsi="宋体"/>
                <w:color w:val="auto"/>
                <w:szCs w:val="21"/>
                <w:highlight w:val="none"/>
              </w:rPr>
              <w:t>专业</w:t>
            </w:r>
          </w:p>
        </w:tc>
        <w:tc>
          <w:tcPr>
            <w:tcW w:w="1080" w:type="dxa"/>
            <w:vMerge w:val="continue"/>
            <w:vAlign w:val="center"/>
          </w:tcPr>
          <w:p>
            <w:pPr>
              <w:jc w:val="center"/>
              <w:rPr>
                <w:color w:val="auto"/>
                <w:szCs w:val="21"/>
                <w:highlight w:val="none"/>
              </w:rPr>
            </w:pPr>
          </w:p>
        </w:tc>
        <w:tc>
          <w:tcPr>
            <w:tcW w:w="900" w:type="dxa"/>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1</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2</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3</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4</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5</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6</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7</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8</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cs="宋体"/>
                <w:color w:val="auto"/>
                <w:szCs w:val="21"/>
                <w:highlight w:val="none"/>
              </w:rPr>
            </w:pPr>
            <w:r>
              <w:rPr>
                <w:rFonts w:hint="eastAsia"/>
                <w:color w:val="auto"/>
                <w:szCs w:val="21"/>
                <w:highlight w:val="none"/>
              </w:rPr>
              <w:t>9</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color w:val="auto"/>
                <w:szCs w:val="21"/>
                <w:highlight w:val="none"/>
              </w:rPr>
            </w:pPr>
            <w:r>
              <w:rPr>
                <w:rFonts w:ascii="宋体" w:hAnsi="宋体" w:cs="宋体"/>
                <w:color w:val="auto"/>
                <w:szCs w:val="21"/>
                <w:highlight w:val="none"/>
              </w:rPr>
              <w:t>…</w:t>
            </w:r>
          </w:p>
        </w:tc>
        <w:tc>
          <w:tcPr>
            <w:tcW w:w="1220" w:type="dxa"/>
            <w:vAlign w:val="center"/>
          </w:tcPr>
          <w:p>
            <w:pPr>
              <w:jc w:val="center"/>
              <w:rPr>
                <w:color w:val="auto"/>
                <w:szCs w:val="21"/>
                <w:highlight w:val="none"/>
              </w:rPr>
            </w:pPr>
          </w:p>
        </w:tc>
        <w:tc>
          <w:tcPr>
            <w:tcW w:w="790" w:type="dxa"/>
            <w:vAlign w:val="center"/>
          </w:tcPr>
          <w:p>
            <w:pPr>
              <w:spacing w:line="240" w:lineRule="exact"/>
              <w:jc w:val="center"/>
              <w:rPr>
                <w:color w:val="auto"/>
                <w:szCs w:val="21"/>
                <w:highlight w:val="none"/>
              </w:rPr>
            </w:pPr>
          </w:p>
        </w:tc>
        <w:tc>
          <w:tcPr>
            <w:tcW w:w="51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720" w:type="dxa"/>
            <w:vAlign w:val="center"/>
          </w:tcPr>
          <w:p>
            <w:pPr>
              <w:spacing w:line="240" w:lineRule="exact"/>
              <w:jc w:val="center"/>
              <w:rPr>
                <w:color w:val="auto"/>
                <w:szCs w:val="21"/>
                <w:highlight w:val="none"/>
              </w:rPr>
            </w:pPr>
          </w:p>
        </w:tc>
        <w:tc>
          <w:tcPr>
            <w:tcW w:w="1210" w:type="dxa"/>
            <w:vAlign w:val="center"/>
          </w:tcPr>
          <w:p>
            <w:pPr>
              <w:spacing w:line="240" w:lineRule="exact"/>
              <w:jc w:val="center"/>
              <w:rPr>
                <w:color w:val="auto"/>
                <w:szCs w:val="21"/>
                <w:highlight w:val="none"/>
              </w:rPr>
            </w:pPr>
          </w:p>
        </w:tc>
        <w:tc>
          <w:tcPr>
            <w:tcW w:w="552"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540" w:type="dxa"/>
            <w:vAlign w:val="center"/>
          </w:tcPr>
          <w:p>
            <w:pPr>
              <w:jc w:val="center"/>
              <w:rPr>
                <w:color w:val="auto"/>
                <w:szCs w:val="21"/>
                <w:highlight w:val="none"/>
              </w:rPr>
            </w:pPr>
          </w:p>
        </w:tc>
        <w:tc>
          <w:tcPr>
            <w:tcW w:w="1245" w:type="dxa"/>
            <w:vAlign w:val="center"/>
          </w:tcPr>
          <w:p>
            <w:pPr>
              <w:jc w:val="center"/>
              <w:rPr>
                <w:color w:val="auto"/>
                <w:szCs w:val="21"/>
                <w:highlight w:val="none"/>
              </w:rPr>
            </w:pPr>
          </w:p>
        </w:tc>
        <w:tc>
          <w:tcPr>
            <w:tcW w:w="622" w:type="dxa"/>
            <w:vAlign w:val="center"/>
          </w:tcPr>
          <w:p>
            <w:pPr>
              <w:jc w:val="center"/>
              <w:rPr>
                <w:color w:val="auto"/>
                <w:szCs w:val="21"/>
                <w:highlight w:val="none"/>
              </w:rPr>
            </w:pPr>
          </w:p>
        </w:tc>
        <w:tc>
          <w:tcPr>
            <w:tcW w:w="1065" w:type="dxa"/>
            <w:vAlign w:val="center"/>
          </w:tcPr>
          <w:p>
            <w:pPr>
              <w:jc w:val="center"/>
              <w:rPr>
                <w:color w:val="auto"/>
                <w:szCs w:val="21"/>
                <w:highlight w:val="none"/>
              </w:rPr>
            </w:pPr>
          </w:p>
        </w:tc>
        <w:tc>
          <w:tcPr>
            <w:tcW w:w="1066" w:type="dxa"/>
            <w:vAlign w:val="center"/>
          </w:tcPr>
          <w:p>
            <w:pPr>
              <w:jc w:val="center"/>
              <w:rPr>
                <w:color w:val="auto"/>
                <w:szCs w:val="21"/>
                <w:highlight w:val="none"/>
              </w:rPr>
            </w:pPr>
          </w:p>
        </w:tc>
        <w:tc>
          <w:tcPr>
            <w:tcW w:w="1080" w:type="dxa"/>
            <w:vAlign w:val="center"/>
          </w:tcPr>
          <w:p>
            <w:pPr>
              <w:jc w:val="center"/>
              <w:rPr>
                <w:color w:val="auto"/>
                <w:szCs w:val="21"/>
                <w:highlight w:val="none"/>
              </w:rPr>
            </w:pPr>
          </w:p>
        </w:tc>
        <w:tc>
          <w:tcPr>
            <w:tcW w:w="900" w:type="dxa"/>
            <w:vAlign w:val="center"/>
          </w:tcPr>
          <w:p>
            <w:pPr>
              <w:jc w:val="center"/>
              <w:rPr>
                <w:color w:val="auto"/>
                <w:szCs w:val="21"/>
                <w:highlight w:val="none"/>
              </w:rPr>
            </w:pPr>
          </w:p>
        </w:tc>
      </w:tr>
    </w:tbl>
    <w:p>
      <w:pPr>
        <w:spacing w:line="400" w:lineRule="atLeast"/>
        <w:ind w:left="630" w:hanging="630" w:hangingChars="300"/>
        <w:rPr>
          <w:rFonts w:ascii="宋体" w:hAnsi="宋体"/>
          <w:color w:val="auto"/>
          <w:szCs w:val="21"/>
          <w:highlight w:val="none"/>
        </w:rPr>
      </w:pPr>
      <w:r>
        <w:rPr>
          <w:rFonts w:hint="eastAsia"/>
          <w:color w:val="auto"/>
          <w:highlight w:val="none"/>
        </w:rPr>
        <w:t>备注</w:t>
      </w:r>
      <w:r>
        <w:rPr>
          <w:color w:val="auto"/>
          <w:highlight w:val="none"/>
        </w:rPr>
        <w:t>：</w:t>
      </w:r>
      <w:r>
        <w:rPr>
          <w:rFonts w:hint="eastAsia"/>
          <w:color w:val="auto"/>
          <w:szCs w:val="21"/>
          <w:highlight w:val="none"/>
        </w:rPr>
        <w:t>1</w:t>
      </w:r>
      <w:r>
        <w:rPr>
          <w:rFonts w:hint="eastAsia" w:ascii="宋体" w:hAnsi="宋体"/>
          <w:color w:val="auto"/>
          <w:szCs w:val="21"/>
          <w:highlight w:val="none"/>
        </w:rPr>
        <w:t>．执业、职业单位指拟投入的项目管理机构人员目前是否在投标人处注册执业或岗位登记</w:t>
      </w:r>
      <w:r>
        <w:rPr>
          <w:rFonts w:ascii="宋体" w:hAnsi="宋体"/>
          <w:color w:val="auto"/>
          <w:szCs w:val="21"/>
          <w:highlight w:val="none"/>
        </w:rPr>
        <w:t>。</w:t>
      </w:r>
    </w:p>
    <w:p>
      <w:pPr>
        <w:spacing w:line="420" w:lineRule="exact"/>
        <w:ind w:left="945" w:leftChars="300" w:hanging="315" w:hangingChars="150"/>
        <w:rPr>
          <w:color w:val="auto"/>
          <w:highlight w:val="none"/>
        </w:rPr>
      </w:pPr>
      <w:r>
        <w:rPr>
          <w:color w:val="auto"/>
          <w:szCs w:val="21"/>
          <w:highlight w:val="none"/>
        </w:rPr>
        <w:t>2</w:t>
      </w:r>
      <w:r>
        <w:rPr>
          <w:rFonts w:hint="eastAsia" w:ascii="宋体" w:hAnsi="宋体"/>
          <w:color w:val="auto"/>
          <w:szCs w:val="21"/>
          <w:highlight w:val="none"/>
        </w:rPr>
        <w:t>．附项目管理机构主要人员</w:t>
      </w:r>
      <w:r>
        <w:rPr>
          <w:rFonts w:ascii="宋体" w:hAnsi="宋体"/>
          <w:color w:val="auto"/>
          <w:szCs w:val="21"/>
          <w:highlight w:val="none"/>
        </w:rPr>
        <w:t>社会保险证明</w:t>
      </w:r>
      <w:r>
        <w:rPr>
          <w:rFonts w:hint="eastAsia" w:ascii="宋体" w:hAnsi="宋体"/>
          <w:color w:val="auto"/>
          <w:szCs w:val="21"/>
          <w:highlight w:val="none"/>
        </w:rPr>
        <w:t>的扫描件。</w:t>
      </w:r>
      <w:r>
        <w:rPr>
          <w:rFonts w:ascii="宋体" w:hAnsi="宋体"/>
          <w:color w:val="auto"/>
          <w:szCs w:val="21"/>
          <w:highlight w:val="none"/>
        </w:rPr>
        <w:t>社会保险证明是指社会统筹保险基金管理部门出具的基本养老保险对账单或加盖社会统筹保险基金管理部门公章的单位缴费明细，以及企业缴费凭证（社会保险缴费发票或银行转账凭证等证明）；社会保险证明应至少体现以下内容：缴纳保险单位名称、人员姓名、社会保障号（或身份证号）、险种、缴费期限等。社会保险证明中缴费单位应与</w:t>
      </w:r>
      <w:r>
        <w:rPr>
          <w:rFonts w:hint="eastAsia" w:ascii="宋体" w:hAnsi="宋体"/>
          <w:color w:val="auto"/>
          <w:szCs w:val="21"/>
          <w:highlight w:val="none"/>
        </w:rPr>
        <w:t>投标</w:t>
      </w:r>
      <w:r>
        <w:rPr>
          <w:rFonts w:ascii="宋体" w:hAnsi="宋体"/>
          <w:color w:val="auto"/>
          <w:szCs w:val="21"/>
          <w:highlight w:val="none"/>
        </w:rPr>
        <w:t>单位一致</w:t>
      </w:r>
      <w:r>
        <w:rPr>
          <w:rFonts w:hint="eastAsia" w:ascii="宋体" w:hAnsi="宋体"/>
          <w:color w:val="auto"/>
          <w:szCs w:val="21"/>
          <w:highlight w:val="none"/>
        </w:rPr>
        <w:t>。</w:t>
      </w:r>
    </w:p>
    <w:p>
      <w:pPr>
        <w:rPr>
          <w:color w:val="auto"/>
          <w:highlight w:val="none"/>
        </w:rPr>
      </w:pPr>
    </w:p>
    <w:bookmarkEnd w:id="2873"/>
    <w:bookmarkEnd w:id="2874"/>
    <w:bookmarkEnd w:id="2875"/>
    <w:bookmarkEnd w:id="2876"/>
    <w:p>
      <w:pPr>
        <w:spacing w:line="420" w:lineRule="exact"/>
        <w:ind w:left="945" w:leftChars="300" w:hanging="315" w:hangingChars="150"/>
        <w:rPr>
          <w:rFonts w:ascii="宋体" w:hAnsi="宋体"/>
          <w:color w:val="auto"/>
          <w:szCs w:val="21"/>
          <w:highlight w:val="none"/>
        </w:rPr>
      </w:pPr>
      <w:bookmarkStart w:id="3033" w:name="_Toc288066321"/>
      <w:bookmarkStart w:id="3034" w:name="_Toc279401977"/>
      <w:bookmarkStart w:id="3035" w:name="_Toc323220049"/>
      <w:bookmarkStart w:id="3036" w:name="_Toc336192500"/>
    </w:p>
    <w:p>
      <w:pPr>
        <w:rPr>
          <w:color w:val="auto"/>
          <w:highlight w:val="none"/>
        </w:rPr>
        <w:sectPr>
          <w:pgSz w:w="16838" w:h="11906" w:orient="landscape"/>
          <w:pgMar w:top="1418" w:right="1418" w:bottom="1418" w:left="1418" w:header="851" w:footer="992" w:gutter="0"/>
          <w:pgNumType w:fmt="decimal"/>
          <w:cols w:space="720" w:num="1"/>
          <w:docGrid w:linePitch="312" w:charSpace="0"/>
        </w:sectPr>
      </w:pPr>
    </w:p>
    <w:p>
      <w:pPr>
        <w:pStyle w:val="32"/>
        <w:jc w:val="center"/>
        <w:outlineLvl w:val="3"/>
        <w:rPr>
          <w:b w:val="0"/>
          <w:color w:val="auto"/>
          <w:sz w:val="24"/>
          <w:szCs w:val="24"/>
          <w:highlight w:val="none"/>
        </w:rPr>
      </w:pPr>
      <w:bookmarkStart w:id="3037" w:name="_Toc426496251"/>
      <w:bookmarkStart w:id="3038" w:name="_Toc169727211"/>
      <w:bookmarkStart w:id="3039" w:name="_Toc11107"/>
      <w:bookmarkStart w:id="3040" w:name="_Toc1703408677"/>
      <w:bookmarkStart w:id="3041" w:name="_Toc25403"/>
      <w:bookmarkStart w:id="3042" w:name="_Toc11165"/>
      <w:bookmarkStart w:id="3043" w:name="_Toc5879"/>
      <w:bookmarkStart w:id="3044" w:name="_Toc21516"/>
      <w:bookmarkStart w:id="3045" w:name="_Toc429598775"/>
      <w:bookmarkStart w:id="3046" w:name="_Toc6270"/>
      <w:bookmarkStart w:id="3047" w:name="_Toc109149966"/>
      <w:r>
        <w:rPr>
          <w:rFonts w:hint="eastAsia"/>
          <w:b w:val="0"/>
          <w:color w:val="auto"/>
          <w:sz w:val="24"/>
          <w:szCs w:val="24"/>
          <w:highlight w:val="none"/>
        </w:rPr>
        <w:t>（二）项目负责人简历表</w:t>
      </w:r>
      <w:bookmarkEnd w:id="3037"/>
      <w:bookmarkEnd w:id="3038"/>
      <w:bookmarkEnd w:id="3039"/>
      <w:bookmarkEnd w:id="3040"/>
      <w:bookmarkEnd w:id="3041"/>
      <w:bookmarkEnd w:id="3042"/>
      <w:bookmarkEnd w:id="3043"/>
      <w:bookmarkEnd w:id="3044"/>
      <w:bookmarkEnd w:id="3045"/>
      <w:bookmarkEnd w:id="3046"/>
      <w:bookmarkEnd w:id="3047"/>
    </w:p>
    <w:p>
      <w:pPr>
        <w:spacing w:line="420" w:lineRule="exact"/>
        <w:ind w:left="1120" w:hanging="1120" w:hangingChars="400"/>
        <w:rPr>
          <w:color w:val="auto"/>
          <w:sz w:val="28"/>
          <w:szCs w:val="28"/>
          <w:highlight w:val="none"/>
        </w:rPr>
      </w:pPr>
    </w:p>
    <w:tbl>
      <w:tblPr>
        <w:tblStyle w:val="2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693"/>
        <w:gridCol w:w="342"/>
        <w:gridCol w:w="1134"/>
        <w:gridCol w:w="1275"/>
        <w:gridCol w:w="504"/>
        <w:gridCol w:w="162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2" w:type="dxa"/>
            <w:vAlign w:val="center"/>
          </w:tcPr>
          <w:p>
            <w:pPr>
              <w:rPr>
                <w:rFonts w:ascii="宋体" w:hAnsi="宋体"/>
                <w:color w:val="auto"/>
                <w:szCs w:val="21"/>
                <w:highlight w:val="none"/>
              </w:rPr>
            </w:pPr>
            <w:r>
              <w:rPr>
                <w:rFonts w:hint="eastAsia" w:ascii="宋体" w:hAnsi="宋体"/>
                <w:color w:val="auto"/>
                <w:szCs w:val="21"/>
                <w:highlight w:val="none"/>
              </w:rPr>
              <w:t>姓  名</w:t>
            </w:r>
          </w:p>
        </w:tc>
        <w:tc>
          <w:tcPr>
            <w:tcW w:w="1035" w:type="dxa"/>
            <w:gridSpan w:val="2"/>
            <w:vAlign w:val="center"/>
          </w:tcPr>
          <w:p>
            <w:pPr>
              <w:jc w:val="center"/>
              <w:rPr>
                <w:rFonts w:ascii="宋体" w:hAnsi="宋体"/>
                <w:color w:val="auto"/>
                <w:szCs w:val="21"/>
                <w:highlight w:val="none"/>
              </w:rPr>
            </w:pPr>
          </w:p>
        </w:tc>
        <w:tc>
          <w:tcPr>
            <w:tcW w:w="1134" w:type="dxa"/>
            <w:vAlign w:val="center"/>
          </w:tcPr>
          <w:p>
            <w:pPr>
              <w:jc w:val="center"/>
              <w:rPr>
                <w:rFonts w:ascii="宋体" w:hAnsi="宋体"/>
                <w:color w:val="auto"/>
                <w:szCs w:val="21"/>
                <w:highlight w:val="none"/>
              </w:rPr>
            </w:pPr>
            <w:r>
              <w:rPr>
                <w:rFonts w:hint="eastAsia" w:ascii="宋体" w:hAnsi="宋体"/>
                <w:color w:val="auto"/>
                <w:szCs w:val="21"/>
                <w:highlight w:val="none"/>
              </w:rPr>
              <w:t>年  龄</w:t>
            </w:r>
          </w:p>
        </w:tc>
        <w:tc>
          <w:tcPr>
            <w:tcW w:w="1275" w:type="dxa"/>
            <w:vAlign w:val="center"/>
          </w:tcPr>
          <w:p>
            <w:pPr>
              <w:jc w:val="center"/>
              <w:rPr>
                <w:rFonts w:ascii="宋体" w:hAnsi="宋体"/>
                <w:color w:val="auto"/>
                <w:szCs w:val="21"/>
                <w:highlight w:val="none"/>
              </w:rPr>
            </w:pPr>
          </w:p>
        </w:tc>
        <w:tc>
          <w:tcPr>
            <w:tcW w:w="2124"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学历</w:t>
            </w:r>
          </w:p>
        </w:tc>
        <w:tc>
          <w:tcPr>
            <w:tcW w:w="216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2" w:type="dxa"/>
            <w:vAlign w:val="center"/>
          </w:tcPr>
          <w:p>
            <w:pPr>
              <w:rPr>
                <w:rFonts w:ascii="宋体" w:hAnsi="宋体"/>
                <w:color w:val="auto"/>
                <w:szCs w:val="21"/>
                <w:highlight w:val="none"/>
              </w:rPr>
            </w:pPr>
            <w:r>
              <w:rPr>
                <w:rFonts w:hint="eastAsia" w:ascii="宋体" w:hAnsi="宋体"/>
                <w:color w:val="auto"/>
                <w:szCs w:val="21"/>
                <w:highlight w:val="none"/>
              </w:rPr>
              <w:t>职  称</w:t>
            </w:r>
          </w:p>
        </w:tc>
        <w:tc>
          <w:tcPr>
            <w:tcW w:w="3444" w:type="dxa"/>
            <w:gridSpan w:val="4"/>
            <w:vAlign w:val="center"/>
          </w:tcPr>
          <w:p>
            <w:pPr>
              <w:jc w:val="center"/>
              <w:rPr>
                <w:rFonts w:ascii="宋体" w:hAnsi="宋体"/>
                <w:color w:val="auto"/>
                <w:szCs w:val="21"/>
                <w:highlight w:val="none"/>
              </w:rPr>
            </w:pPr>
          </w:p>
        </w:tc>
        <w:tc>
          <w:tcPr>
            <w:tcW w:w="2124"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拟在本工程任职</w:t>
            </w:r>
          </w:p>
        </w:tc>
        <w:tc>
          <w:tcPr>
            <w:tcW w:w="2160" w:type="dxa"/>
            <w:vAlign w:val="center"/>
          </w:tcPr>
          <w:p>
            <w:pPr>
              <w:jc w:val="center"/>
              <w:rPr>
                <w:rFonts w:ascii="宋体" w:hAnsi="宋体"/>
                <w:color w:val="auto"/>
                <w:szCs w:val="21"/>
                <w:highlight w:val="none"/>
              </w:rPr>
            </w:pPr>
            <w:r>
              <w:rPr>
                <w:rFonts w:hint="eastAsia" w:ascii="宋体" w:hAnsi="宋体"/>
                <w:color w:val="auto"/>
                <w:szCs w:val="21"/>
                <w:highlight w:val="none"/>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61" w:type="dxa"/>
            <w:gridSpan w:val="4"/>
            <w:vAlign w:val="center"/>
          </w:tcPr>
          <w:p>
            <w:pPr>
              <w:jc w:val="center"/>
              <w:rPr>
                <w:rFonts w:ascii="宋体" w:hAnsi="宋体"/>
                <w:color w:val="auto"/>
                <w:szCs w:val="21"/>
                <w:highlight w:val="none"/>
              </w:rPr>
            </w:pPr>
            <w:r>
              <w:rPr>
                <w:rFonts w:hint="eastAsia" w:ascii="宋体" w:hAnsi="宋体"/>
                <w:color w:val="auto"/>
                <w:szCs w:val="21"/>
                <w:highlight w:val="none"/>
              </w:rPr>
              <w:t>注册建造师执业资格等级</w:t>
            </w:r>
          </w:p>
        </w:tc>
        <w:tc>
          <w:tcPr>
            <w:tcW w:w="1275" w:type="dxa"/>
            <w:vAlign w:val="center"/>
          </w:tcPr>
          <w:p>
            <w:pPr>
              <w:jc w:val="center"/>
              <w:rPr>
                <w:rFonts w:ascii="宋体" w:hAnsi="宋体"/>
                <w:color w:val="auto"/>
                <w:szCs w:val="21"/>
                <w:highlight w:val="none"/>
              </w:rPr>
            </w:pPr>
            <w:r>
              <w:rPr>
                <w:rFonts w:hint="eastAsia" w:ascii="宋体" w:hAnsi="宋体"/>
                <w:color w:val="auto"/>
                <w:szCs w:val="21"/>
                <w:highlight w:val="none"/>
              </w:rPr>
              <w:t xml:space="preserve">      级</w:t>
            </w:r>
          </w:p>
        </w:tc>
        <w:tc>
          <w:tcPr>
            <w:tcW w:w="2124"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建造师专业</w:t>
            </w:r>
          </w:p>
        </w:tc>
        <w:tc>
          <w:tcPr>
            <w:tcW w:w="216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61" w:type="dxa"/>
            <w:gridSpan w:val="4"/>
            <w:vAlign w:val="center"/>
          </w:tcPr>
          <w:p>
            <w:pPr>
              <w:jc w:val="center"/>
              <w:rPr>
                <w:rFonts w:ascii="宋体" w:hAnsi="宋体"/>
                <w:color w:val="auto"/>
                <w:szCs w:val="21"/>
                <w:highlight w:val="none"/>
              </w:rPr>
            </w:pPr>
            <w:r>
              <w:rPr>
                <w:rFonts w:hint="eastAsia" w:ascii="宋体" w:hAnsi="宋体"/>
                <w:color w:val="auto"/>
                <w:szCs w:val="21"/>
                <w:highlight w:val="none"/>
              </w:rPr>
              <w:t>安全生产考核合格证书</w:t>
            </w:r>
          </w:p>
        </w:tc>
        <w:tc>
          <w:tcPr>
            <w:tcW w:w="5559" w:type="dxa"/>
            <w:gridSpan w:val="4"/>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2" w:type="dxa"/>
            <w:vAlign w:val="center"/>
          </w:tcPr>
          <w:p>
            <w:pPr>
              <w:jc w:val="center"/>
              <w:rPr>
                <w:rFonts w:ascii="宋体" w:hAnsi="宋体"/>
                <w:color w:val="auto"/>
                <w:szCs w:val="21"/>
                <w:highlight w:val="none"/>
              </w:rPr>
            </w:pPr>
            <w:r>
              <w:rPr>
                <w:rFonts w:hint="eastAsia" w:ascii="宋体" w:hAnsi="宋体"/>
                <w:color w:val="auto"/>
                <w:szCs w:val="21"/>
                <w:highlight w:val="none"/>
              </w:rPr>
              <w:t>毕业学校</w:t>
            </w:r>
          </w:p>
        </w:tc>
        <w:tc>
          <w:tcPr>
            <w:tcW w:w="7728" w:type="dxa"/>
            <w:gridSpan w:val="7"/>
            <w:vAlign w:val="center"/>
          </w:tcPr>
          <w:p>
            <w:pPr>
              <w:ind w:firstLine="840" w:firstLineChars="400"/>
              <w:rPr>
                <w:rFonts w:ascii="宋体" w:hAnsi="宋体"/>
                <w:color w:val="auto"/>
                <w:szCs w:val="21"/>
                <w:highlight w:val="none"/>
              </w:rPr>
            </w:pPr>
            <w:r>
              <w:rPr>
                <w:rFonts w:hint="eastAsia" w:ascii="宋体" w:hAnsi="宋体"/>
                <w:color w:val="auto"/>
                <w:szCs w:val="21"/>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61" w:type="dxa"/>
            <w:gridSpan w:val="4"/>
            <w:vAlign w:val="center"/>
          </w:tcPr>
          <w:p>
            <w:pPr>
              <w:ind w:firstLine="840" w:firstLineChars="400"/>
              <w:rPr>
                <w:rFonts w:ascii="宋体" w:hAnsi="宋体"/>
                <w:color w:val="auto"/>
                <w:szCs w:val="21"/>
                <w:highlight w:val="none"/>
              </w:rPr>
            </w:pPr>
            <w:r>
              <w:rPr>
                <w:rFonts w:hint="eastAsia"/>
                <w:color w:val="auto"/>
                <w:szCs w:val="21"/>
                <w:highlight w:val="none"/>
              </w:rPr>
              <w:t>参加工作时间</w:t>
            </w:r>
          </w:p>
        </w:tc>
        <w:tc>
          <w:tcPr>
            <w:tcW w:w="1275" w:type="dxa"/>
            <w:vAlign w:val="center"/>
          </w:tcPr>
          <w:p>
            <w:pPr>
              <w:ind w:firstLine="840" w:firstLineChars="400"/>
              <w:rPr>
                <w:rFonts w:ascii="宋体" w:hAnsi="宋体"/>
                <w:color w:val="auto"/>
                <w:szCs w:val="21"/>
                <w:highlight w:val="none"/>
              </w:rPr>
            </w:pPr>
          </w:p>
        </w:tc>
        <w:tc>
          <w:tcPr>
            <w:tcW w:w="2124" w:type="dxa"/>
            <w:gridSpan w:val="2"/>
            <w:vAlign w:val="center"/>
          </w:tcPr>
          <w:p>
            <w:pPr>
              <w:jc w:val="center"/>
              <w:rPr>
                <w:rFonts w:ascii="宋体" w:hAnsi="宋体"/>
                <w:color w:val="auto"/>
                <w:szCs w:val="21"/>
                <w:highlight w:val="none"/>
              </w:rPr>
            </w:pPr>
            <w:r>
              <w:rPr>
                <w:rFonts w:ascii="宋体" w:hAnsi="宋体"/>
                <w:color w:val="auto"/>
                <w:szCs w:val="21"/>
                <w:highlight w:val="none"/>
              </w:rPr>
              <w:t>专业</w:t>
            </w:r>
            <w:r>
              <w:rPr>
                <w:rFonts w:hint="eastAsia" w:ascii="宋体" w:hAnsi="宋体"/>
                <w:color w:val="auto"/>
                <w:szCs w:val="21"/>
                <w:highlight w:val="none"/>
              </w:rPr>
              <w:t>工作年限</w:t>
            </w:r>
          </w:p>
        </w:tc>
        <w:tc>
          <w:tcPr>
            <w:tcW w:w="2160" w:type="dxa"/>
            <w:vAlign w:val="center"/>
          </w:tcPr>
          <w:p>
            <w:pPr>
              <w:ind w:firstLine="840" w:firstLineChars="40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820" w:type="dxa"/>
            <w:gridSpan w:val="8"/>
            <w:vAlign w:val="center"/>
          </w:tcPr>
          <w:p>
            <w:pPr>
              <w:jc w:val="center"/>
              <w:rPr>
                <w:rFonts w:ascii="宋体" w:hAnsi="宋体"/>
                <w:color w:val="auto"/>
                <w:szCs w:val="21"/>
                <w:highlight w:val="none"/>
              </w:rPr>
            </w:pPr>
            <w:r>
              <w:rPr>
                <w:rFonts w:ascii="宋体" w:hAnsi="宋体"/>
                <w:color w:val="auto"/>
                <w:szCs w:val="21"/>
                <w:highlight w:val="none"/>
              </w:rPr>
              <w:t>主要</w:t>
            </w:r>
            <w:r>
              <w:rPr>
                <w:rFonts w:hint="eastAsia" w:ascii="宋体" w:hAnsi="宋体"/>
                <w:color w:val="auto"/>
                <w:szCs w:val="21"/>
                <w:highlight w:val="none"/>
              </w:rPr>
              <w:t>施工管理</w:t>
            </w:r>
            <w:r>
              <w:rPr>
                <w:rFonts w:ascii="宋体" w:hAnsi="宋体"/>
                <w:color w:val="auto"/>
                <w:szCs w:val="21"/>
                <w:highlight w:val="none"/>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时  间</w:t>
            </w:r>
          </w:p>
        </w:tc>
        <w:tc>
          <w:tcPr>
            <w:tcW w:w="3255" w:type="dxa"/>
            <w:gridSpan w:val="4"/>
            <w:vAlign w:val="center"/>
          </w:tcPr>
          <w:p>
            <w:pPr>
              <w:jc w:val="center"/>
              <w:rPr>
                <w:rFonts w:ascii="宋体" w:hAnsi="宋体"/>
                <w:color w:val="auto"/>
                <w:szCs w:val="21"/>
                <w:highlight w:val="none"/>
              </w:rPr>
            </w:pPr>
            <w:r>
              <w:rPr>
                <w:rFonts w:hint="eastAsia" w:ascii="宋体" w:hAnsi="宋体"/>
                <w:color w:val="auto"/>
                <w:szCs w:val="21"/>
                <w:highlight w:val="none"/>
              </w:rPr>
              <w:t>担任过类似工程项目负责人的项目名称</w:t>
            </w:r>
          </w:p>
        </w:tc>
        <w:tc>
          <w:tcPr>
            <w:tcW w:w="3780"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时  间</w:t>
            </w:r>
          </w:p>
        </w:tc>
        <w:tc>
          <w:tcPr>
            <w:tcW w:w="3255" w:type="dxa"/>
            <w:gridSpan w:val="4"/>
            <w:vAlign w:val="center"/>
          </w:tcPr>
          <w:p>
            <w:pPr>
              <w:jc w:val="center"/>
              <w:rPr>
                <w:rFonts w:ascii="宋体" w:hAnsi="宋体"/>
                <w:color w:val="auto"/>
                <w:szCs w:val="21"/>
                <w:highlight w:val="none"/>
              </w:rPr>
            </w:pPr>
            <w:r>
              <w:rPr>
                <w:rFonts w:hint="eastAsia" w:ascii="宋体" w:hAnsi="宋体"/>
                <w:color w:val="auto"/>
                <w:szCs w:val="21"/>
                <w:highlight w:val="none"/>
              </w:rPr>
              <w:t>担任过其他项目项目负责人的项目名称</w:t>
            </w:r>
          </w:p>
        </w:tc>
        <w:tc>
          <w:tcPr>
            <w:tcW w:w="3780"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bl>
    <w:p>
      <w:pPr>
        <w:spacing w:line="420" w:lineRule="exact"/>
        <w:ind w:left="840" w:hanging="840" w:hangingChars="400"/>
        <w:rPr>
          <w:rFonts w:ascii="宋体" w:hAnsi="宋体"/>
          <w:color w:val="auto"/>
          <w:highlight w:val="none"/>
        </w:rPr>
      </w:pPr>
    </w:p>
    <w:p>
      <w:pPr>
        <w:spacing w:line="420" w:lineRule="exact"/>
        <w:ind w:left="840" w:hanging="840" w:hangingChars="400"/>
        <w:rPr>
          <w:rFonts w:ascii="宋体" w:hAnsi="宋体"/>
          <w:color w:val="auto"/>
          <w:highlight w:val="none"/>
        </w:rPr>
      </w:pPr>
      <w:r>
        <w:rPr>
          <w:rFonts w:hint="eastAsia" w:ascii="宋体" w:hAnsi="宋体"/>
          <w:color w:val="auto"/>
          <w:highlight w:val="none"/>
        </w:rPr>
        <w:t>备注：</w:t>
      </w:r>
      <w:r>
        <w:rPr>
          <w:rFonts w:hint="eastAsia"/>
          <w:color w:val="auto"/>
          <w:highlight w:val="none"/>
        </w:rPr>
        <w:t>1</w:t>
      </w:r>
      <w:r>
        <w:rPr>
          <w:rFonts w:hint="eastAsia" w:ascii="宋体" w:hAnsi="宋体"/>
          <w:color w:val="auto"/>
          <w:highlight w:val="none"/>
        </w:rPr>
        <w:t>.项目负责人的证明资料按下列顺序附后，建造师资格证书</w:t>
      </w:r>
      <w:r>
        <w:rPr>
          <w:rFonts w:hint="eastAsia" w:ascii="宋体" w:hAnsi="宋体"/>
          <w:color w:val="auto"/>
          <w:szCs w:val="21"/>
          <w:highlight w:val="none"/>
        </w:rPr>
        <w:t>（如有）</w:t>
      </w:r>
      <w:r>
        <w:rPr>
          <w:rFonts w:hint="eastAsia" w:ascii="宋体" w:hAnsi="宋体"/>
          <w:color w:val="auto"/>
          <w:highlight w:val="none"/>
        </w:rPr>
        <w:t>、注册证书、安全生产考核合格证书</w:t>
      </w:r>
      <w:r>
        <w:rPr>
          <w:color w:val="auto"/>
          <w:highlight w:val="none"/>
        </w:rPr>
        <w:t>（</w:t>
      </w:r>
      <w:r>
        <w:rPr>
          <w:rFonts w:hint="eastAsia"/>
          <w:color w:val="auto"/>
          <w:highlight w:val="none"/>
        </w:rPr>
        <w:t>B证</w:t>
      </w:r>
      <w:r>
        <w:rPr>
          <w:color w:val="auto"/>
          <w:highlight w:val="none"/>
        </w:rPr>
        <w:t>）</w:t>
      </w:r>
      <w:r>
        <w:rPr>
          <w:rFonts w:hint="eastAsia" w:ascii="宋体" w:hAnsi="宋体"/>
          <w:color w:val="auto"/>
          <w:highlight w:val="none"/>
        </w:rPr>
        <w:t>、职称证、学历证</w:t>
      </w:r>
      <w:r>
        <w:rPr>
          <w:rFonts w:hint="eastAsia" w:ascii="宋体" w:hAnsi="宋体"/>
          <w:color w:val="auto"/>
          <w:szCs w:val="21"/>
          <w:highlight w:val="none"/>
        </w:rPr>
        <w:t>扫描件</w:t>
      </w:r>
      <w:r>
        <w:rPr>
          <w:rFonts w:hint="eastAsia" w:ascii="宋体" w:hAnsi="宋体"/>
          <w:color w:val="auto"/>
          <w:highlight w:val="none"/>
        </w:rPr>
        <w:t>。</w:t>
      </w:r>
    </w:p>
    <w:p>
      <w:pPr>
        <w:spacing w:line="420" w:lineRule="exact"/>
        <w:ind w:left="840" w:leftChars="300" w:hanging="210" w:hangingChars="100"/>
        <w:rPr>
          <w:rFonts w:ascii="宋体" w:hAnsi="宋体"/>
          <w:color w:val="auto"/>
          <w:szCs w:val="21"/>
          <w:highlight w:val="none"/>
        </w:rPr>
      </w:pPr>
      <w:r>
        <w:rPr>
          <w:rFonts w:hint="eastAsia"/>
          <w:color w:val="auto"/>
          <w:highlight w:val="none"/>
        </w:rPr>
        <w:t>2</w:t>
      </w:r>
      <w:r>
        <w:rPr>
          <w:rFonts w:hint="eastAsia" w:ascii="宋体" w:hAnsi="宋体"/>
          <w:color w:val="auto"/>
          <w:szCs w:val="21"/>
          <w:highlight w:val="none"/>
        </w:rPr>
        <w:t>.担任过类似工程项目负责人</w:t>
      </w:r>
      <w:r>
        <w:rPr>
          <w:rFonts w:hint="eastAsia" w:ascii="宋体" w:hAnsi="宋体"/>
          <w:color w:val="auto"/>
          <w:highlight w:val="none"/>
        </w:rPr>
        <w:t>的证明资料应分别附</w:t>
      </w:r>
      <w:r>
        <w:rPr>
          <w:rFonts w:hint="eastAsia" w:ascii="宋体" w:hAnsi="宋体"/>
          <w:color w:val="auto"/>
          <w:szCs w:val="21"/>
          <w:highlight w:val="none"/>
        </w:rPr>
        <w:t>中标通知书</w:t>
      </w:r>
      <w:r>
        <w:rPr>
          <w:rFonts w:ascii="宋体" w:hAnsi="宋体"/>
          <w:color w:val="auto"/>
          <w:szCs w:val="21"/>
          <w:highlight w:val="none"/>
        </w:rPr>
        <w:t>（如有）</w:t>
      </w:r>
      <w:r>
        <w:rPr>
          <w:rFonts w:hint="eastAsia" w:ascii="宋体" w:hAnsi="宋体"/>
          <w:color w:val="auto"/>
          <w:szCs w:val="21"/>
          <w:highlight w:val="none"/>
        </w:rPr>
        <w:t>、合同协议书及</w:t>
      </w:r>
      <w:r>
        <w:rPr>
          <w:rFonts w:hint="eastAsia" w:ascii="宋体" w:hAnsi="宋体" w:cs="宋体"/>
          <w:color w:val="auto"/>
          <w:szCs w:val="21"/>
          <w:highlight w:val="none"/>
        </w:rPr>
        <w:t>竣工验收证明等</w:t>
      </w:r>
      <w:r>
        <w:rPr>
          <w:rFonts w:hint="eastAsia" w:ascii="宋体" w:hAnsi="宋体"/>
          <w:color w:val="auto"/>
          <w:szCs w:val="21"/>
          <w:highlight w:val="none"/>
        </w:rPr>
        <w:t>的扫描件。</w:t>
      </w:r>
    </w:p>
    <w:p>
      <w:pPr>
        <w:spacing w:line="420" w:lineRule="exact"/>
        <w:ind w:left="630" w:leftChars="300"/>
        <w:rPr>
          <w:color w:val="auto"/>
          <w:szCs w:val="21"/>
          <w:highlight w:val="none"/>
        </w:rPr>
      </w:pPr>
    </w:p>
    <w:p>
      <w:pPr>
        <w:pStyle w:val="32"/>
        <w:jc w:val="center"/>
        <w:outlineLvl w:val="3"/>
        <w:rPr>
          <w:b w:val="0"/>
          <w:color w:val="auto"/>
          <w:sz w:val="24"/>
          <w:szCs w:val="24"/>
          <w:highlight w:val="none"/>
        </w:rPr>
      </w:pPr>
      <w:bookmarkStart w:id="3048" w:name="_Toc28732"/>
      <w:bookmarkStart w:id="3049" w:name="_Toc2746"/>
      <w:bookmarkStart w:id="3050" w:name="_Toc429598776"/>
      <w:bookmarkStart w:id="3051" w:name="_Toc620515252"/>
      <w:bookmarkStart w:id="3052" w:name="_Toc21158"/>
      <w:bookmarkStart w:id="3053" w:name="_Toc21276"/>
      <w:bookmarkStart w:id="3054" w:name="_Toc19263"/>
      <w:bookmarkStart w:id="3055" w:name="_Toc15573"/>
      <w:bookmarkStart w:id="3056" w:name="_Toc426496252"/>
      <w:bookmarkStart w:id="3057" w:name="_Toc617328279"/>
      <w:bookmarkStart w:id="3058" w:name="_Toc109149967"/>
      <w:r>
        <w:rPr>
          <w:rFonts w:hint="eastAsia"/>
          <w:b w:val="0"/>
          <w:color w:val="auto"/>
          <w:sz w:val="24"/>
          <w:szCs w:val="24"/>
          <w:highlight w:val="none"/>
        </w:rPr>
        <w:t>（三）拟派项目负责人无在建项目的承诺书</w:t>
      </w:r>
      <w:bookmarkEnd w:id="3048"/>
      <w:bookmarkEnd w:id="3049"/>
      <w:bookmarkEnd w:id="3050"/>
      <w:bookmarkEnd w:id="3051"/>
      <w:bookmarkEnd w:id="3052"/>
      <w:bookmarkEnd w:id="3053"/>
      <w:bookmarkEnd w:id="3054"/>
      <w:bookmarkEnd w:id="3055"/>
      <w:bookmarkEnd w:id="3056"/>
      <w:bookmarkEnd w:id="3057"/>
      <w:bookmarkEnd w:id="3058"/>
    </w:p>
    <w:p>
      <w:pPr>
        <w:rPr>
          <w:rFonts w:ascii="宋体" w:hAnsi="宋体"/>
          <w:color w:val="auto"/>
          <w:highlight w:val="none"/>
          <w:u w:val="single"/>
        </w:rPr>
      </w:pPr>
    </w:p>
    <w:p>
      <w:pPr>
        <w:ind w:firstLine="210" w:firstLineChars="100"/>
        <w:rPr>
          <w:rFonts w:ascii="宋体" w:hAnsi="宋体"/>
          <w:color w:val="auto"/>
          <w:highlight w:val="none"/>
        </w:rPr>
      </w:pPr>
      <w:r>
        <w:rPr>
          <w:rFonts w:hint="eastAsia" w:ascii="宋体" w:hAnsi="宋体"/>
          <w:color w:val="auto"/>
          <w:szCs w:val="21"/>
          <w:highlight w:val="none"/>
          <w:u w:val="single"/>
          <w:lang w:val="en-US" w:eastAsia="zh-CN"/>
        </w:rPr>
        <w:t xml:space="preserve">    </w:t>
      </w:r>
      <w:r>
        <w:rPr>
          <w:rFonts w:hint="eastAsia" w:ascii="宋体" w:hAnsi="宋体"/>
          <w:color w:val="auto"/>
          <w:highlight w:val="none"/>
        </w:rPr>
        <w:t>（招标人名称）：</w:t>
      </w:r>
    </w:p>
    <w:p>
      <w:pPr>
        <w:spacing w:line="440" w:lineRule="exact"/>
        <w:ind w:firstLine="420" w:firstLineChars="200"/>
        <w:rPr>
          <w:color w:val="auto"/>
          <w:szCs w:val="21"/>
          <w:highlight w:val="none"/>
        </w:rPr>
      </w:pPr>
      <w:r>
        <w:rPr>
          <w:rFonts w:hint="eastAsia" w:ascii="宋体" w:hAnsi="宋体"/>
          <w:color w:val="auto"/>
          <w:szCs w:val="21"/>
          <w:highlight w:val="none"/>
        </w:rPr>
        <w:t>我方在此声明，我方拟派往</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（项目名称）（以下简称“本工程”）的项目负责人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（项目负责人姓名） 现阶段（投标截止时间之前）没有担</w:t>
      </w:r>
      <w:r>
        <w:rPr>
          <w:rFonts w:hint="eastAsia"/>
          <w:color w:val="auto"/>
          <w:szCs w:val="21"/>
          <w:highlight w:val="none"/>
        </w:rPr>
        <w:t>其他</w:t>
      </w:r>
      <w:r>
        <w:rPr>
          <w:rFonts w:hint="eastAsia" w:ascii="宋体" w:hAnsi="宋体"/>
          <w:color w:val="auto"/>
          <w:szCs w:val="21"/>
          <w:highlight w:val="none"/>
        </w:rPr>
        <w:t>在建工程项目的项目负责人。</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根据</w:t>
      </w:r>
      <w:r>
        <w:rPr>
          <w:rFonts w:ascii="宋体" w:hAnsi="宋体"/>
          <w:color w:val="auto"/>
          <w:szCs w:val="21"/>
          <w:highlight w:val="none"/>
        </w:rPr>
        <w:t>《注册建造师执业管理办法（试行）》</w:t>
      </w:r>
      <w:r>
        <w:rPr>
          <w:rFonts w:hint="eastAsia" w:ascii="宋体" w:hAnsi="宋体"/>
          <w:color w:val="auto"/>
          <w:szCs w:val="21"/>
          <w:highlight w:val="none"/>
        </w:rPr>
        <w:t>第九条规定“注册建造师不得同时担任两个及以上建设工程施工项目负责人”， 第十条规定“注册建造师担任施工项目负责人期间原则上不得更换”。我方拟派项目负责人的能够参加本工程的投标是基于以下理由：</w:t>
      </w:r>
    </w:p>
    <w:p>
      <w:pPr>
        <w:spacing w:line="440" w:lineRule="exact"/>
        <w:ind w:firstLine="525" w:firstLineChars="250"/>
        <w:rPr>
          <w:rFonts w:ascii="宋体" w:hAnsi="宋体"/>
          <w:color w:val="auto"/>
          <w:szCs w:val="21"/>
          <w:highlight w:val="none"/>
        </w:rPr>
      </w:pPr>
      <w:r>
        <w:rPr>
          <w:rFonts w:hint="eastAsia"/>
          <w:color w:val="auto"/>
          <w:szCs w:val="21"/>
          <w:highlight w:val="none"/>
        </w:rPr>
        <w:t xml:space="preserve">□  </w:t>
      </w:r>
      <w:r>
        <w:rPr>
          <w:rFonts w:hint="eastAsia" w:ascii="宋体" w:hAnsi="宋体"/>
          <w:color w:val="auto"/>
          <w:szCs w:val="21"/>
          <w:highlight w:val="none"/>
        </w:rPr>
        <w:t>拟派项目负责人存在</w:t>
      </w:r>
      <w:r>
        <w:rPr>
          <w:rFonts w:ascii="宋体" w:hAnsi="宋体"/>
          <w:color w:val="auto"/>
          <w:szCs w:val="21"/>
          <w:highlight w:val="none"/>
        </w:rPr>
        <w:t>《注册建造师执业管理办法（试行）》</w:t>
      </w:r>
      <w:r>
        <w:rPr>
          <w:rFonts w:hint="eastAsia" w:ascii="宋体" w:hAnsi="宋体"/>
          <w:color w:val="auto"/>
          <w:szCs w:val="21"/>
          <w:highlight w:val="none"/>
        </w:rPr>
        <w:t>第九条规定的下列情形：</w:t>
      </w:r>
    </w:p>
    <w:p>
      <w:pPr>
        <w:spacing w:line="440" w:lineRule="exact"/>
        <w:ind w:firstLine="945" w:firstLineChars="450"/>
        <w:rPr>
          <w:rFonts w:ascii="宋体" w:hAnsi="宋体"/>
          <w:color w:val="auto"/>
          <w:szCs w:val="21"/>
          <w:highlight w:val="none"/>
        </w:rPr>
      </w:pPr>
      <w:r>
        <w:rPr>
          <w:rFonts w:hint="eastAsia"/>
          <w:color w:val="auto"/>
          <w:szCs w:val="21"/>
          <w:highlight w:val="none"/>
        </w:rPr>
        <w:t>□</w:t>
      </w:r>
      <w:r>
        <w:rPr>
          <w:rFonts w:ascii="宋体" w:hAnsi="宋体"/>
          <w:color w:val="auto"/>
          <w:szCs w:val="21"/>
          <w:highlight w:val="none"/>
        </w:rPr>
        <w:t>同一工程相邻分段发包或分期施工的</w:t>
      </w:r>
      <w:r>
        <w:rPr>
          <w:rFonts w:hint="eastAsia" w:ascii="宋体" w:hAnsi="宋体"/>
          <w:color w:val="auto"/>
          <w:szCs w:val="21"/>
          <w:highlight w:val="none"/>
        </w:rPr>
        <w:t>;</w:t>
      </w:r>
    </w:p>
    <w:p>
      <w:pPr>
        <w:spacing w:line="440" w:lineRule="exact"/>
        <w:ind w:firstLine="945" w:firstLineChars="450"/>
        <w:rPr>
          <w:rFonts w:ascii="宋体" w:hAnsi="宋体"/>
          <w:color w:val="auto"/>
          <w:szCs w:val="21"/>
          <w:highlight w:val="none"/>
        </w:rPr>
      </w:pPr>
      <w:r>
        <w:rPr>
          <w:rFonts w:hint="eastAsia"/>
          <w:color w:val="auto"/>
          <w:szCs w:val="21"/>
          <w:highlight w:val="none"/>
        </w:rPr>
        <w:t>□</w:t>
      </w:r>
      <w:r>
        <w:rPr>
          <w:rFonts w:ascii="宋体" w:hAnsi="宋体"/>
          <w:color w:val="auto"/>
          <w:szCs w:val="21"/>
          <w:highlight w:val="none"/>
        </w:rPr>
        <w:t>合同约定的工程验收合格的；</w:t>
      </w:r>
    </w:p>
    <w:p>
      <w:pPr>
        <w:spacing w:line="440" w:lineRule="exact"/>
        <w:ind w:firstLine="945" w:firstLineChars="450"/>
        <w:rPr>
          <w:rFonts w:ascii="宋体" w:hAnsi="宋体"/>
          <w:color w:val="auto"/>
          <w:szCs w:val="21"/>
          <w:highlight w:val="none"/>
        </w:rPr>
      </w:pPr>
      <w:r>
        <w:rPr>
          <w:rFonts w:hint="eastAsia"/>
          <w:color w:val="auto"/>
          <w:szCs w:val="21"/>
          <w:highlight w:val="none"/>
        </w:rPr>
        <w:t>□</w:t>
      </w:r>
      <w:r>
        <w:rPr>
          <w:rFonts w:ascii="宋体" w:hAnsi="宋体"/>
          <w:color w:val="auto"/>
          <w:szCs w:val="21"/>
          <w:highlight w:val="none"/>
        </w:rPr>
        <w:t>因非承包方原因致使工程项目停工超过</w:t>
      </w:r>
      <w:r>
        <w:rPr>
          <w:color w:val="auto"/>
          <w:szCs w:val="21"/>
          <w:highlight w:val="none"/>
        </w:rPr>
        <w:t>120</w:t>
      </w:r>
      <w:r>
        <w:rPr>
          <w:rFonts w:ascii="宋体" w:hAnsi="宋体"/>
          <w:color w:val="auto"/>
          <w:szCs w:val="21"/>
          <w:highlight w:val="none"/>
        </w:rPr>
        <w:t>天（含），经建设单位同意的。</w:t>
      </w:r>
    </w:p>
    <w:p>
      <w:pPr>
        <w:spacing w:line="440" w:lineRule="exact"/>
        <w:ind w:firstLine="525" w:firstLineChars="250"/>
        <w:rPr>
          <w:rFonts w:ascii="宋体" w:hAnsi="宋体"/>
          <w:color w:val="auto"/>
          <w:szCs w:val="21"/>
          <w:highlight w:val="none"/>
        </w:rPr>
      </w:pPr>
      <w:r>
        <w:rPr>
          <w:rFonts w:hint="eastAsia"/>
          <w:color w:val="auto"/>
          <w:szCs w:val="21"/>
          <w:highlight w:val="none"/>
        </w:rPr>
        <w:t xml:space="preserve">□  </w:t>
      </w:r>
      <w:r>
        <w:rPr>
          <w:rFonts w:hint="eastAsia" w:ascii="宋体" w:hAnsi="宋体"/>
          <w:color w:val="auto"/>
          <w:szCs w:val="21"/>
          <w:highlight w:val="none"/>
        </w:rPr>
        <w:t>拟派项目负责人担任其他施工项目负责人期间因下列原因进行了更换，并办理书面交接手续：</w:t>
      </w:r>
    </w:p>
    <w:p>
      <w:pPr>
        <w:spacing w:line="440" w:lineRule="exact"/>
        <w:ind w:firstLine="945" w:firstLineChars="450"/>
        <w:rPr>
          <w:rFonts w:ascii="宋体" w:hAnsi="宋体"/>
          <w:color w:val="auto"/>
          <w:szCs w:val="21"/>
          <w:highlight w:val="none"/>
        </w:rPr>
      </w:pPr>
      <w:r>
        <w:rPr>
          <w:rFonts w:hint="eastAsia"/>
          <w:color w:val="auto"/>
          <w:szCs w:val="21"/>
          <w:highlight w:val="none"/>
        </w:rPr>
        <w:t>□</w:t>
      </w:r>
      <w:r>
        <w:rPr>
          <w:rFonts w:hint="eastAsia" w:ascii="宋体" w:hAnsi="宋体"/>
          <w:color w:val="auto"/>
          <w:szCs w:val="21"/>
          <w:highlight w:val="none"/>
        </w:rPr>
        <w:t>发包方与注册建造师受聘企业已解除承包合同的；</w:t>
      </w:r>
    </w:p>
    <w:p>
      <w:pPr>
        <w:spacing w:line="440" w:lineRule="exact"/>
        <w:ind w:firstLine="945" w:firstLineChars="450"/>
        <w:rPr>
          <w:rFonts w:ascii="宋体" w:hAnsi="宋体"/>
          <w:color w:val="auto"/>
          <w:szCs w:val="21"/>
          <w:highlight w:val="none"/>
        </w:rPr>
      </w:pPr>
      <w:r>
        <w:rPr>
          <w:rFonts w:hint="eastAsia"/>
          <w:color w:val="auto"/>
          <w:szCs w:val="21"/>
          <w:highlight w:val="none"/>
        </w:rPr>
        <w:t>□</w:t>
      </w:r>
      <w:r>
        <w:rPr>
          <w:rFonts w:hint="eastAsia" w:ascii="宋体" w:hAnsi="宋体"/>
          <w:color w:val="auto"/>
          <w:szCs w:val="21"/>
          <w:highlight w:val="none"/>
        </w:rPr>
        <w:t>发包方同意更换项目负责人的；</w:t>
      </w:r>
    </w:p>
    <w:p>
      <w:pPr>
        <w:spacing w:line="440" w:lineRule="exact"/>
        <w:ind w:firstLine="945" w:firstLineChars="450"/>
        <w:rPr>
          <w:rFonts w:ascii="宋体" w:hAnsi="宋体"/>
          <w:color w:val="auto"/>
          <w:szCs w:val="21"/>
          <w:highlight w:val="none"/>
        </w:rPr>
      </w:pPr>
      <w:r>
        <w:rPr>
          <w:rFonts w:hint="eastAsia"/>
          <w:color w:val="auto"/>
          <w:szCs w:val="21"/>
          <w:highlight w:val="none"/>
        </w:rPr>
        <w:t>□</w:t>
      </w:r>
      <w:r>
        <w:rPr>
          <w:rFonts w:hint="eastAsia" w:ascii="宋体" w:hAnsi="宋体"/>
          <w:color w:val="auto"/>
          <w:szCs w:val="21"/>
          <w:highlight w:val="none"/>
        </w:rPr>
        <w:t>因不可抗力等特殊情况必须更换项目负责人的。</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我方保证上述信息的真实和准确，并愿意承担因我方就此弄虚作假所引起的一切法律后果。</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我方在此声明，如拟派项目负责人参加不同工程项目投标，我方先后被列为第一中标候选人，我方将无条件放弃评标结果后公示的工程建设项目的中标资格。</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440" w:lineRule="exact"/>
        <w:jc w:val="right"/>
        <w:rPr>
          <w:rFonts w:ascii="宋体" w:hAnsi="宋体"/>
          <w:color w:val="auto"/>
          <w:szCs w:val="21"/>
          <w:highlight w:val="none"/>
        </w:rPr>
      </w:pPr>
      <w:r>
        <w:rPr>
          <w:rFonts w:hint="eastAsia" w:ascii="宋体" w:hAnsi="宋体"/>
          <w:color w:val="auto"/>
          <w:szCs w:val="21"/>
          <w:highlight w:val="none"/>
        </w:rPr>
        <w:t>投标人：（盖单位章）</w:t>
      </w:r>
    </w:p>
    <w:p>
      <w:pPr>
        <w:spacing w:line="440" w:lineRule="exact"/>
        <w:jc w:val="right"/>
        <w:rPr>
          <w:rFonts w:ascii="宋体" w:hAnsi="宋体"/>
          <w:color w:val="auto"/>
          <w:szCs w:val="21"/>
          <w:highlight w:val="none"/>
        </w:rPr>
      </w:pPr>
      <w:r>
        <w:rPr>
          <w:rFonts w:hint="eastAsia" w:ascii="宋体" w:hAnsi="宋体"/>
          <w:color w:val="auto"/>
          <w:szCs w:val="21"/>
          <w:highlight w:val="none"/>
        </w:rPr>
        <w:t>法定代表人：（签字）</w:t>
      </w:r>
    </w:p>
    <w:p>
      <w:pPr>
        <w:jc w:val="right"/>
        <w:rPr>
          <w:rFonts w:ascii="宋体" w:hAnsi="宋体"/>
          <w:color w:val="auto"/>
          <w:szCs w:val="21"/>
          <w:highlight w:val="none"/>
        </w:rPr>
      </w:pPr>
      <w:r>
        <w:rPr>
          <w:rFonts w:hint="eastAsia" w:ascii="宋体" w:hAnsi="宋体"/>
          <w:color w:val="auto"/>
          <w:szCs w:val="21"/>
          <w:highlight w:val="none"/>
        </w:rPr>
        <w:t>年月日</w:t>
      </w:r>
    </w:p>
    <w:p>
      <w:pPr>
        <w:jc w:val="right"/>
        <w:rPr>
          <w:rFonts w:ascii="宋体" w:hAnsi="宋体"/>
          <w:color w:val="auto"/>
          <w:szCs w:val="21"/>
          <w:highlight w:val="none"/>
        </w:rPr>
      </w:pPr>
    </w:p>
    <w:p>
      <w:pPr>
        <w:spacing w:line="440" w:lineRule="exact"/>
        <w:ind w:left="840" w:hanging="840" w:hangingChars="400"/>
        <w:rPr>
          <w:rFonts w:ascii="宋体" w:hAnsi="宋体"/>
          <w:color w:val="auto"/>
          <w:szCs w:val="21"/>
          <w:highlight w:val="none"/>
        </w:rPr>
      </w:pPr>
    </w:p>
    <w:p>
      <w:pPr>
        <w:spacing w:line="440" w:lineRule="exact"/>
        <w:ind w:left="840" w:hanging="840" w:hangingChars="400"/>
        <w:rPr>
          <w:rFonts w:ascii="宋体" w:hAnsi="宋体"/>
          <w:color w:val="auto"/>
          <w:szCs w:val="21"/>
          <w:highlight w:val="none"/>
        </w:rPr>
      </w:pPr>
    </w:p>
    <w:p>
      <w:pPr>
        <w:spacing w:line="440" w:lineRule="exact"/>
        <w:ind w:left="840" w:hanging="840" w:hangingChars="400"/>
        <w:rPr>
          <w:rFonts w:ascii="宋体" w:hAnsi="宋体"/>
          <w:color w:val="auto"/>
          <w:szCs w:val="21"/>
          <w:highlight w:val="none"/>
        </w:rPr>
      </w:pPr>
      <w:r>
        <w:rPr>
          <w:rFonts w:hint="eastAsia" w:ascii="宋体" w:hAnsi="宋体"/>
          <w:color w:val="auto"/>
          <w:szCs w:val="21"/>
          <w:highlight w:val="none"/>
        </w:rPr>
        <w:t>备注：</w:t>
      </w:r>
      <w:r>
        <w:rPr>
          <w:rFonts w:hint="eastAsia"/>
          <w:color w:val="auto"/>
          <w:szCs w:val="21"/>
          <w:highlight w:val="none"/>
        </w:rPr>
        <w:t>1</w:t>
      </w:r>
      <w:r>
        <w:rPr>
          <w:rFonts w:hint="eastAsia" w:ascii="宋体" w:hAnsi="宋体"/>
          <w:color w:val="auto"/>
          <w:szCs w:val="21"/>
          <w:highlight w:val="none"/>
        </w:rPr>
        <w:t>.投标人应当根据“承诺书”的格式，如实说明拟派项目负责人能够参加本工程投标的理由，并附相关证明材料的扫描件。</w:t>
      </w:r>
    </w:p>
    <w:p>
      <w:pPr>
        <w:spacing w:line="440" w:lineRule="exact"/>
        <w:ind w:left="630" w:leftChars="300"/>
        <w:rPr>
          <w:rFonts w:ascii="宋体" w:hAnsi="宋体"/>
          <w:color w:val="auto"/>
          <w:szCs w:val="21"/>
          <w:highlight w:val="none"/>
        </w:rPr>
      </w:pPr>
      <w:r>
        <w:rPr>
          <w:rFonts w:hint="eastAsia"/>
          <w:color w:val="auto"/>
          <w:szCs w:val="21"/>
          <w:highlight w:val="none"/>
        </w:rPr>
        <w:t>2</w:t>
      </w:r>
      <w:r>
        <w:rPr>
          <w:rFonts w:hint="eastAsia" w:ascii="宋体" w:hAnsi="宋体"/>
          <w:color w:val="auto"/>
          <w:szCs w:val="21"/>
          <w:highlight w:val="none"/>
        </w:rPr>
        <w:t>.投标人“承诺书”的实质内容应当与格式规定的实质内容一致。</w:t>
      </w:r>
    </w:p>
    <w:p>
      <w:pPr>
        <w:rPr>
          <w:color w:val="auto"/>
          <w:highlight w:val="none"/>
        </w:rPr>
      </w:pPr>
    </w:p>
    <w:p>
      <w:pPr>
        <w:outlineLvl w:val="9"/>
        <w:rPr>
          <w:color w:val="auto"/>
          <w:highlight w:val="none"/>
        </w:rPr>
      </w:pPr>
    </w:p>
    <w:p>
      <w:pPr>
        <w:pStyle w:val="32"/>
        <w:jc w:val="center"/>
        <w:outlineLvl w:val="9"/>
        <w:rPr>
          <w:rFonts w:hint="eastAsia"/>
          <w:b w:val="0"/>
          <w:color w:val="auto"/>
          <w:sz w:val="24"/>
          <w:szCs w:val="24"/>
          <w:highlight w:val="none"/>
        </w:rPr>
      </w:pPr>
      <w:bookmarkStart w:id="3059" w:name="_Toc1110494306"/>
      <w:bookmarkStart w:id="3060" w:name="_Toc29656"/>
      <w:bookmarkStart w:id="3061" w:name="_Toc25615"/>
      <w:bookmarkStart w:id="3062" w:name="_Toc17076"/>
      <w:bookmarkStart w:id="3063" w:name="_Toc435088357"/>
      <w:bookmarkStart w:id="3064" w:name="_Toc429598777"/>
      <w:bookmarkStart w:id="3065" w:name="_Toc109149968"/>
      <w:bookmarkStart w:id="3066" w:name="_Toc25212"/>
      <w:bookmarkStart w:id="3067" w:name="_Toc9689"/>
    </w:p>
    <w:p>
      <w:pPr>
        <w:pStyle w:val="32"/>
        <w:jc w:val="center"/>
        <w:outlineLvl w:val="3"/>
        <w:rPr>
          <w:b w:val="0"/>
          <w:color w:val="auto"/>
          <w:sz w:val="24"/>
          <w:szCs w:val="24"/>
          <w:highlight w:val="none"/>
        </w:rPr>
      </w:pPr>
      <w:bookmarkStart w:id="3068" w:name="_Toc13156"/>
      <w:r>
        <w:rPr>
          <w:rFonts w:hint="eastAsia"/>
          <w:b w:val="0"/>
          <w:color w:val="auto"/>
          <w:sz w:val="24"/>
          <w:szCs w:val="24"/>
          <w:highlight w:val="none"/>
        </w:rPr>
        <w:t>（四）项目技术负责人简历表</w:t>
      </w:r>
      <w:bookmarkEnd w:id="3059"/>
      <w:bookmarkEnd w:id="3060"/>
      <w:bookmarkEnd w:id="3061"/>
      <w:bookmarkEnd w:id="3062"/>
      <w:bookmarkEnd w:id="3063"/>
      <w:bookmarkEnd w:id="3064"/>
      <w:bookmarkEnd w:id="3065"/>
      <w:bookmarkEnd w:id="3066"/>
      <w:bookmarkEnd w:id="3067"/>
      <w:bookmarkEnd w:id="3068"/>
    </w:p>
    <w:p>
      <w:pPr>
        <w:jc w:val="center"/>
        <w:rPr>
          <w:color w:val="auto"/>
          <w:sz w:val="28"/>
          <w:szCs w:val="28"/>
          <w:highlight w:val="none"/>
        </w:rPr>
      </w:pPr>
    </w:p>
    <w:tbl>
      <w:tblPr>
        <w:tblStyle w:val="2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693"/>
        <w:gridCol w:w="342"/>
        <w:gridCol w:w="1134"/>
        <w:gridCol w:w="1275"/>
        <w:gridCol w:w="504"/>
        <w:gridCol w:w="162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2" w:type="dxa"/>
            <w:vAlign w:val="center"/>
          </w:tcPr>
          <w:p>
            <w:pPr>
              <w:rPr>
                <w:rFonts w:ascii="宋体" w:hAnsi="宋体"/>
                <w:color w:val="auto"/>
                <w:szCs w:val="21"/>
                <w:highlight w:val="none"/>
              </w:rPr>
            </w:pPr>
            <w:r>
              <w:rPr>
                <w:rFonts w:hint="eastAsia" w:ascii="宋体" w:hAnsi="宋体"/>
                <w:color w:val="auto"/>
                <w:szCs w:val="21"/>
                <w:highlight w:val="none"/>
              </w:rPr>
              <w:t>姓  名</w:t>
            </w:r>
          </w:p>
        </w:tc>
        <w:tc>
          <w:tcPr>
            <w:tcW w:w="1035" w:type="dxa"/>
            <w:gridSpan w:val="2"/>
            <w:vAlign w:val="center"/>
          </w:tcPr>
          <w:p>
            <w:pPr>
              <w:jc w:val="center"/>
              <w:rPr>
                <w:rFonts w:ascii="宋体" w:hAnsi="宋体"/>
                <w:color w:val="auto"/>
                <w:szCs w:val="21"/>
                <w:highlight w:val="none"/>
              </w:rPr>
            </w:pPr>
          </w:p>
        </w:tc>
        <w:tc>
          <w:tcPr>
            <w:tcW w:w="1134" w:type="dxa"/>
            <w:vAlign w:val="center"/>
          </w:tcPr>
          <w:p>
            <w:pPr>
              <w:jc w:val="center"/>
              <w:rPr>
                <w:rFonts w:ascii="宋体" w:hAnsi="宋体"/>
                <w:color w:val="auto"/>
                <w:szCs w:val="21"/>
                <w:highlight w:val="none"/>
              </w:rPr>
            </w:pPr>
            <w:r>
              <w:rPr>
                <w:rFonts w:hint="eastAsia" w:ascii="宋体" w:hAnsi="宋体"/>
                <w:color w:val="auto"/>
                <w:szCs w:val="21"/>
                <w:highlight w:val="none"/>
              </w:rPr>
              <w:t>年  龄</w:t>
            </w:r>
          </w:p>
        </w:tc>
        <w:tc>
          <w:tcPr>
            <w:tcW w:w="1275" w:type="dxa"/>
            <w:vAlign w:val="center"/>
          </w:tcPr>
          <w:p>
            <w:pPr>
              <w:jc w:val="center"/>
              <w:rPr>
                <w:rFonts w:ascii="宋体" w:hAnsi="宋体"/>
                <w:color w:val="auto"/>
                <w:szCs w:val="21"/>
                <w:highlight w:val="none"/>
              </w:rPr>
            </w:pPr>
          </w:p>
        </w:tc>
        <w:tc>
          <w:tcPr>
            <w:tcW w:w="2124"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学历</w:t>
            </w:r>
          </w:p>
        </w:tc>
        <w:tc>
          <w:tcPr>
            <w:tcW w:w="216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2" w:type="dxa"/>
            <w:vAlign w:val="center"/>
          </w:tcPr>
          <w:p>
            <w:pPr>
              <w:rPr>
                <w:rFonts w:ascii="宋体" w:hAnsi="宋体"/>
                <w:color w:val="auto"/>
                <w:szCs w:val="21"/>
                <w:highlight w:val="none"/>
              </w:rPr>
            </w:pPr>
            <w:r>
              <w:rPr>
                <w:rFonts w:hint="eastAsia" w:ascii="宋体" w:hAnsi="宋体"/>
                <w:color w:val="auto"/>
                <w:szCs w:val="21"/>
                <w:highlight w:val="none"/>
              </w:rPr>
              <w:t>职  称</w:t>
            </w:r>
          </w:p>
        </w:tc>
        <w:tc>
          <w:tcPr>
            <w:tcW w:w="3444" w:type="dxa"/>
            <w:gridSpan w:val="4"/>
            <w:vAlign w:val="center"/>
          </w:tcPr>
          <w:p>
            <w:pPr>
              <w:jc w:val="center"/>
              <w:rPr>
                <w:rFonts w:ascii="宋体" w:hAnsi="宋体"/>
                <w:color w:val="auto"/>
                <w:szCs w:val="21"/>
                <w:highlight w:val="none"/>
              </w:rPr>
            </w:pPr>
          </w:p>
        </w:tc>
        <w:tc>
          <w:tcPr>
            <w:tcW w:w="2124"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拟在本工程任职</w:t>
            </w:r>
          </w:p>
        </w:tc>
        <w:tc>
          <w:tcPr>
            <w:tcW w:w="2160" w:type="dxa"/>
            <w:vAlign w:val="center"/>
          </w:tcPr>
          <w:p>
            <w:pPr>
              <w:jc w:val="center"/>
              <w:rPr>
                <w:rFonts w:ascii="宋体" w:hAnsi="宋体"/>
                <w:color w:val="auto"/>
                <w:szCs w:val="21"/>
                <w:highlight w:val="none"/>
              </w:rPr>
            </w:pPr>
            <w:r>
              <w:rPr>
                <w:rFonts w:hint="eastAsia" w:ascii="宋体" w:hAnsi="宋体"/>
                <w:color w:val="auto"/>
                <w:szCs w:val="21"/>
                <w:highlight w:val="none"/>
              </w:rPr>
              <w:t>项目技术负责人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61" w:type="dxa"/>
            <w:gridSpan w:val="4"/>
            <w:vAlign w:val="center"/>
          </w:tcPr>
          <w:p>
            <w:pPr>
              <w:jc w:val="center"/>
              <w:rPr>
                <w:rFonts w:ascii="宋体" w:hAnsi="宋体"/>
                <w:color w:val="auto"/>
                <w:szCs w:val="21"/>
                <w:highlight w:val="none"/>
              </w:rPr>
            </w:pPr>
            <w:r>
              <w:rPr>
                <w:rFonts w:hint="eastAsia" w:ascii="宋体" w:hAnsi="宋体"/>
                <w:color w:val="auto"/>
                <w:szCs w:val="21"/>
                <w:highlight w:val="none"/>
              </w:rPr>
              <w:t>注册建造师执业资格等级</w:t>
            </w:r>
          </w:p>
        </w:tc>
        <w:tc>
          <w:tcPr>
            <w:tcW w:w="1275" w:type="dxa"/>
            <w:vAlign w:val="center"/>
          </w:tcPr>
          <w:p>
            <w:pPr>
              <w:jc w:val="center"/>
              <w:rPr>
                <w:rFonts w:ascii="宋体" w:hAnsi="宋体"/>
                <w:color w:val="auto"/>
                <w:szCs w:val="21"/>
                <w:highlight w:val="none"/>
              </w:rPr>
            </w:pPr>
            <w:r>
              <w:rPr>
                <w:rFonts w:hint="eastAsia" w:ascii="宋体" w:hAnsi="宋体"/>
                <w:color w:val="auto"/>
                <w:szCs w:val="21"/>
                <w:highlight w:val="none"/>
              </w:rPr>
              <w:t xml:space="preserve">      级</w:t>
            </w:r>
          </w:p>
        </w:tc>
        <w:tc>
          <w:tcPr>
            <w:tcW w:w="2124"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建造师专业</w:t>
            </w:r>
          </w:p>
        </w:tc>
        <w:tc>
          <w:tcPr>
            <w:tcW w:w="216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92" w:type="dxa"/>
            <w:vAlign w:val="center"/>
          </w:tcPr>
          <w:p>
            <w:pPr>
              <w:jc w:val="center"/>
              <w:rPr>
                <w:rFonts w:ascii="宋体" w:hAnsi="宋体"/>
                <w:color w:val="auto"/>
                <w:szCs w:val="21"/>
                <w:highlight w:val="none"/>
              </w:rPr>
            </w:pPr>
            <w:r>
              <w:rPr>
                <w:rFonts w:hint="eastAsia" w:ascii="宋体" w:hAnsi="宋体"/>
                <w:color w:val="auto"/>
                <w:szCs w:val="21"/>
                <w:highlight w:val="none"/>
              </w:rPr>
              <w:t>毕业学校</w:t>
            </w:r>
          </w:p>
        </w:tc>
        <w:tc>
          <w:tcPr>
            <w:tcW w:w="7728" w:type="dxa"/>
            <w:gridSpan w:val="7"/>
            <w:vAlign w:val="center"/>
          </w:tcPr>
          <w:p>
            <w:pPr>
              <w:ind w:firstLine="840" w:firstLineChars="400"/>
              <w:rPr>
                <w:rFonts w:ascii="宋体" w:hAnsi="宋体"/>
                <w:color w:val="auto"/>
                <w:szCs w:val="21"/>
                <w:highlight w:val="none"/>
              </w:rPr>
            </w:pPr>
            <w:r>
              <w:rPr>
                <w:rFonts w:hint="eastAsia" w:ascii="宋体" w:hAnsi="宋体"/>
                <w:color w:val="auto"/>
                <w:szCs w:val="21"/>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61" w:type="dxa"/>
            <w:gridSpan w:val="4"/>
            <w:vAlign w:val="center"/>
          </w:tcPr>
          <w:p>
            <w:pPr>
              <w:ind w:firstLine="840" w:firstLineChars="400"/>
              <w:rPr>
                <w:rFonts w:ascii="宋体" w:hAnsi="宋体"/>
                <w:color w:val="auto"/>
                <w:szCs w:val="21"/>
                <w:highlight w:val="none"/>
              </w:rPr>
            </w:pPr>
            <w:r>
              <w:rPr>
                <w:rFonts w:hint="eastAsia"/>
                <w:color w:val="auto"/>
                <w:szCs w:val="21"/>
                <w:highlight w:val="none"/>
              </w:rPr>
              <w:t>参加工作时间</w:t>
            </w:r>
          </w:p>
        </w:tc>
        <w:tc>
          <w:tcPr>
            <w:tcW w:w="1275" w:type="dxa"/>
            <w:vAlign w:val="center"/>
          </w:tcPr>
          <w:p>
            <w:pPr>
              <w:ind w:firstLine="840" w:firstLineChars="400"/>
              <w:rPr>
                <w:rFonts w:ascii="宋体" w:hAnsi="宋体"/>
                <w:color w:val="auto"/>
                <w:szCs w:val="21"/>
                <w:highlight w:val="none"/>
              </w:rPr>
            </w:pPr>
          </w:p>
        </w:tc>
        <w:tc>
          <w:tcPr>
            <w:tcW w:w="2124" w:type="dxa"/>
            <w:gridSpan w:val="2"/>
            <w:vAlign w:val="center"/>
          </w:tcPr>
          <w:p>
            <w:pPr>
              <w:jc w:val="center"/>
              <w:rPr>
                <w:rFonts w:ascii="宋体" w:hAnsi="宋体"/>
                <w:color w:val="auto"/>
                <w:szCs w:val="21"/>
                <w:highlight w:val="none"/>
              </w:rPr>
            </w:pPr>
            <w:r>
              <w:rPr>
                <w:rFonts w:ascii="宋体" w:hAnsi="宋体"/>
                <w:color w:val="auto"/>
                <w:szCs w:val="21"/>
                <w:highlight w:val="none"/>
              </w:rPr>
              <w:t>专业</w:t>
            </w:r>
            <w:r>
              <w:rPr>
                <w:rFonts w:hint="eastAsia" w:ascii="宋体" w:hAnsi="宋体"/>
                <w:color w:val="auto"/>
                <w:szCs w:val="21"/>
                <w:highlight w:val="none"/>
              </w:rPr>
              <w:t>工作年限</w:t>
            </w:r>
          </w:p>
        </w:tc>
        <w:tc>
          <w:tcPr>
            <w:tcW w:w="2160" w:type="dxa"/>
            <w:vAlign w:val="center"/>
          </w:tcPr>
          <w:p>
            <w:pPr>
              <w:ind w:firstLine="840" w:firstLineChars="40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820" w:type="dxa"/>
            <w:gridSpan w:val="8"/>
            <w:vAlign w:val="center"/>
          </w:tcPr>
          <w:p>
            <w:pPr>
              <w:jc w:val="center"/>
              <w:rPr>
                <w:rFonts w:ascii="宋体" w:hAnsi="宋体"/>
                <w:color w:val="auto"/>
                <w:szCs w:val="21"/>
                <w:highlight w:val="none"/>
              </w:rPr>
            </w:pPr>
            <w:r>
              <w:rPr>
                <w:rFonts w:ascii="宋体" w:hAnsi="宋体"/>
                <w:color w:val="auto"/>
                <w:szCs w:val="21"/>
                <w:highlight w:val="none"/>
              </w:rPr>
              <w:t>主要</w:t>
            </w:r>
            <w:r>
              <w:rPr>
                <w:rFonts w:hint="eastAsia" w:ascii="宋体" w:hAnsi="宋体"/>
                <w:color w:val="auto"/>
                <w:szCs w:val="21"/>
                <w:highlight w:val="none"/>
              </w:rPr>
              <w:t>施工管理</w:t>
            </w:r>
            <w:r>
              <w:rPr>
                <w:rFonts w:ascii="宋体" w:hAnsi="宋体"/>
                <w:color w:val="auto"/>
                <w:szCs w:val="21"/>
                <w:highlight w:val="none"/>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时  间</w:t>
            </w:r>
          </w:p>
        </w:tc>
        <w:tc>
          <w:tcPr>
            <w:tcW w:w="3255" w:type="dxa"/>
            <w:gridSpan w:val="4"/>
            <w:vAlign w:val="center"/>
          </w:tcPr>
          <w:p>
            <w:pPr>
              <w:jc w:val="center"/>
              <w:rPr>
                <w:rFonts w:ascii="宋体" w:hAnsi="宋体"/>
                <w:color w:val="auto"/>
                <w:szCs w:val="21"/>
                <w:highlight w:val="none"/>
              </w:rPr>
            </w:pPr>
            <w:r>
              <w:rPr>
                <w:rFonts w:hint="eastAsia" w:ascii="宋体" w:hAnsi="宋体"/>
                <w:color w:val="auto"/>
                <w:szCs w:val="21"/>
                <w:highlight w:val="none"/>
              </w:rPr>
              <w:t>担任过项目技术负责人</w:t>
            </w:r>
          </w:p>
          <w:p>
            <w:pPr>
              <w:jc w:val="center"/>
              <w:rPr>
                <w:rFonts w:ascii="宋体" w:hAnsi="宋体"/>
                <w:color w:val="auto"/>
                <w:szCs w:val="21"/>
                <w:highlight w:val="none"/>
              </w:rPr>
            </w:pPr>
            <w:r>
              <w:rPr>
                <w:rFonts w:hint="eastAsia" w:ascii="宋体" w:hAnsi="宋体"/>
                <w:color w:val="auto"/>
                <w:szCs w:val="21"/>
                <w:highlight w:val="none"/>
              </w:rPr>
              <w:t>的项目名称</w:t>
            </w:r>
          </w:p>
        </w:tc>
        <w:tc>
          <w:tcPr>
            <w:tcW w:w="3780"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时  间</w:t>
            </w:r>
          </w:p>
        </w:tc>
        <w:tc>
          <w:tcPr>
            <w:tcW w:w="3255" w:type="dxa"/>
            <w:gridSpan w:val="4"/>
            <w:vAlign w:val="center"/>
          </w:tcPr>
          <w:p>
            <w:pPr>
              <w:jc w:val="center"/>
              <w:rPr>
                <w:rFonts w:ascii="宋体" w:hAnsi="宋体"/>
                <w:color w:val="auto"/>
                <w:szCs w:val="21"/>
                <w:highlight w:val="none"/>
              </w:rPr>
            </w:pPr>
            <w:r>
              <w:rPr>
                <w:rFonts w:hint="eastAsia" w:ascii="宋体" w:hAnsi="宋体"/>
                <w:color w:val="auto"/>
                <w:szCs w:val="21"/>
                <w:highlight w:val="none"/>
              </w:rPr>
              <w:t>从事过施工管理</w:t>
            </w:r>
          </w:p>
          <w:p>
            <w:pPr>
              <w:jc w:val="center"/>
              <w:rPr>
                <w:rFonts w:ascii="宋体" w:hAnsi="宋体"/>
                <w:color w:val="auto"/>
                <w:szCs w:val="21"/>
                <w:highlight w:val="none"/>
              </w:rPr>
            </w:pPr>
            <w:r>
              <w:rPr>
                <w:rFonts w:hint="eastAsia" w:ascii="宋体" w:hAnsi="宋体"/>
                <w:color w:val="auto"/>
                <w:szCs w:val="21"/>
                <w:highlight w:val="none"/>
              </w:rPr>
              <w:t>的项目名称及岗位</w:t>
            </w:r>
          </w:p>
        </w:tc>
        <w:tc>
          <w:tcPr>
            <w:tcW w:w="3780" w:type="dxa"/>
            <w:gridSpan w:val="2"/>
            <w:vAlign w:val="center"/>
          </w:tcPr>
          <w:p>
            <w:pPr>
              <w:jc w:val="center"/>
              <w:rPr>
                <w:rFonts w:ascii="宋体" w:hAnsi="宋体"/>
                <w:color w:val="auto"/>
                <w:szCs w:val="21"/>
                <w:highlight w:val="none"/>
              </w:rPr>
            </w:pPr>
            <w:r>
              <w:rPr>
                <w:rFonts w:hint="eastAsia" w:ascii="宋体" w:hAnsi="宋体"/>
                <w:color w:val="auto"/>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785" w:type="dxa"/>
            <w:gridSpan w:val="2"/>
            <w:vAlign w:val="center"/>
          </w:tcPr>
          <w:p>
            <w:pPr>
              <w:jc w:val="center"/>
              <w:rPr>
                <w:rFonts w:ascii="宋体" w:hAnsi="宋体"/>
                <w:color w:val="auto"/>
                <w:szCs w:val="21"/>
                <w:highlight w:val="none"/>
              </w:rPr>
            </w:pPr>
          </w:p>
        </w:tc>
        <w:tc>
          <w:tcPr>
            <w:tcW w:w="3255" w:type="dxa"/>
            <w:gridSpan w:val="4"/>
            <w:vAlign w:val="center"/>
          </w:tcPr>
          <w:p>
            <w:pPr>
              <w:jc w:val="center"/>
              <w:rPr>
                <w:rFonts w:ascii="宋体" w:hAnsi="宋体"/>
                <w:color w:val="auto"/>
                <w:szCs w:val="21"/>
                <w:highlight w:val="none"/>
              </w:rPr>
            </w:pPr>
          </w:p>
        </w:tc>
        <w:tc>
          <w:tcPr>
            <w:tcW w:w="3780" w:type="dxa"/>
            <w:gridSpan w:val="2"/>
            <w:vAlign w:val="center"/>
          </w:tcPr>
          <w:p>
            <w:pPr>
              <w:jc w:val="center"/>
              <w:rPr>
                <w:rFonts w:ascii="宋体" w:hAnsi="宋体"/>
                <w:color w:val="auto"/>
                <w:szCs w:val="21"/>
                <w:highlight w:val="none"/>
              </w:rPr>
            </w:pPr>
          </w:p>
        </w:tc>
      </w:tr>
    </w:tbl>
    <w:p>
      <w:pPr>
        <w:spacing w:line="420" w:lineRule="exact"/>
        <w:ind w:left="630" w:hanging="630" w:hangingChars="300"/>
        <w:rPr>
          <w:rFonts w:ascii="宋体" w:hAnsi="宋体"/>
          <w:color w:val="auto"/>
          <w:highlight w:val="none"/>
        </w:rPr>
      </w:pPr>
    </w:p>
    <w:p>
      <w:pPr>
        <w:spacing w:line="420" w:lineRule="exact"/>
        <w:ind w:left="630" w:hanging="630" w:hangingChars="300"/>
        <w:rPr>
          <w:rFonts w:ascii="宋体" w:hAnsi="宋体"/>
          <w:color w:val="auto"/>
          <w:highlight w:val="none"/>
        </w:rPr>
      </w:pPr>
    </w:p>
    <w:p>
      <w:pPr>
        <w:spacing w:line="420" w:lineRule="exact"/>
        <w:ind w:left="630" w:hanging="630" w:hangingChars="300"/>
        <w:rPr>
          <w:rFonts w:ascii="宋体" w:hAnsi="宋体"/>
          <w:color w:val="auto"/>
          <w:highlight w:val="none"/>
        </w:rPr>
      </w:pPr>
    </w:p>
    <w:p>
      <w:pPr>
        <w:spacing w:line="420" w:lineRule="exact"/>
        <w:ind w:left="945" w:hanging="945" w:hangingChars="450"/>
        <w:rPr>
          <w:rFonts w:ascii="宋体" w:hAnsi="宋体"/>
          <w:color w:val="auto"/>
          <w:highlight w:val="none"/>
        </w:rPr>
      </w:pPr>
      <w:r>
        <w:rPr>
          <w:rFonts w:hint="eastAsia" w:ascii="宋体" w:hAnsi="宋体"/>
          <w:color w:val="auto"/>
          <w:highlight w:val="none"/>
        </w:rPr>
        <w:t>备注：</w:t>
      </w:r>
      <w:r>
        <w:rPr>
          <w:rFonts w:hint="eastAsia"/>
          <w:color w:val="auto"/>
          <w:highlight w:val="none"/>
        </w:rPr>
        <w:t>1</w:t>
      </w:r>
      <w:r>
        <w:rPr>
          <w:rFonts w:hint="eastAsia" w:ascii="宋体" w:hAnsi="宋体"/>
          <w:color w:val="auto"/>
          <w:highlight w:val="none"/>
        </w:rPr>
        <w:t>.项目技术负责人的证明资料按下列顺序附后，职称证、建造师资格证书（如有）、注册证书（如有）、学历证</w:t>
      </w:r>
      <w:r>
        <w:rPr>
          <w:rFonts w:hint="eastAsia" w:ascii="宋体" w:hAnsi="宋体"/>
          <w:color w:val="auto"/>
          <w:szCs w:val="21"/>
          <w:highlight w:val="none"/>
        </w:rPr>
        <w:t>扫描件</w:t>
      </w:r>
      <w:r>
        <w:rPr>
          <w:rFonts w:hint="eastAsia" w:ascii="宋体" w:hAnsi="宋体"/>
          <w:color w:val="auto"/>
          <w:highlight w:val="none"/>
        </w:rPr>
        <w:t>。</w:t>
      </w:r>
    </w:p>
    <w:p>
      <w:pPr>
        <w:spacing w:line="420" w:lineRule="exact"/>
        <w:ind w:left="840" w:leftChars="300" w:hanging="210" w:hangingChars="100"/>
        <w:rPr>
          <w:rFonts w:ascii="宋体" w:hAnsi="宋体"/>
          <w:color w:val="auto"/>
          <w:szCs w:val="21"/>
          <w:highlight w:val="none"/>
        </w:rPr>
      </w:pPr>
      <w:r>
        <w:rPr>
          <w:rFonts w:hint="eastAsia"/>
          <w:color w:val="auto"/>
          <w:highlight w:val="none"/>
        </w:rPr>
        <w:t>2</w:t>
      </w:r>
      <w:r>
        <w:rPr>
          <w:rFonts w:hint="eastAsia" w:ascii="宋体" w:hAnsi="宋体"/>
          <w:color w:val="auto"/>
          <w:highlight w:val="none"/>
        </w:rPr>
        <w:t>.</w:t>
      </w:r>
      <w:r>
        <w:rPr>
          <w:rFonts w:hint="eastAsia" w:ascii="宋体" w:hAnsi="宋体"/>
          <w:color w:val="auto"/>
          <w:szCs w:val="21"/>
          <w:highlight w:val="none"/>
        </w:rPr>
        <w:t xml:space="preserve"> 担任过项目技术负责人</w:t>
      </w:r>
      <w:r>
        <w:rPr>
          <w:rFonts w:hint="eastAsia" w:ascii="宋体" w:hAnsi="宋体"/>
          <w:color w:val="auto"/>
          <w:highlight w:val="none"/>
        </w:rPr>
        <w:t>的证明资料应分别附</w:t>
      </w:r>
      <w:r>
        <w:rPr>
          <w:rFonts w:hint="eastAsia" w:ascii="宋体" w:hAnsi="宋体"/>
          <w:color w:val="auto"/>
          <w:szCs w:val="21"/>
          <w:highlight w:val="none"/>
        </w:rPr>
        <w:t>合同协议书、发包人的证明文件的扫描件。</w:t>
      </w:r>
    </w:p>
    <w:p>
      <w:pPr>
        <w:rPr>
          <w:color w:val="auto"/>
          <w:highlight w:val="none"/>
        </w:rPr>
      </w:pPr>
    </w:p>
    <w:p>
      <w:pPr>
        <w:pStyle w:val="30"/>
        <w:outlineLvl w:val="9"/>
        <w:rPr>
          <w:color w:val="auto"/>
          <w:highlight w:val="none"/>
        </w:rPr>
      </w:pPr>
    </w:p>
    <w:p>
      <w:pPr>
        <w:pStyle w:val="32"/>
        <w:jc w:val="center"/>
        <w:outlineLvl w:val="3"/>
        <w:rPr>
          <w:b w:val="0"/>
          <w:color w:val="auto"/>
          <w:sz w:val="24"/>
          <w:szCs w:val="24"/>
          <w:highlight w:val="none"/>
        </w:rPr>
      </w:pPr>
      <w:bookmarkStart w:id="3069" w:name="_Toc16682"/>
      <w:bookmarkStart w:id="3070" w:name="_Toc2694"/>
      <w:bookmarkStart w:id="3071" w:name="_Toc6520"/>
      <w:bookmarkStart w:id="3072" w:name="_Toc109149969"/>
      <w:bookmarkStart w:id="3073" w:name="_Toc16511"/>
      <w:bookmarkStart w:id="3074" w:name="_Toc426496253"/>
      <w:bookmarkStart w:id="3075" w:name="_Toc1416304375"/>
      <w:bookmarkStart w:id="3076" w:name="_Toc429598778"/>
      <w:bookmarkStart w:id="3077" w:name="_Toc1563663779"/>
      <w:bookmarkStart w:id="3078" w:name="_Toc8899"/>
      <w:bookmarkStart w:id="3079" w:name="_Toc1042"/>
      <w:r>
        <w:rPr>
          <w:rFonts w:hint="eastAsia"/>
          <w:b w:val="0"/>
          <w:color w:val="auto"/>
          <w:sz w:val="24"/>
          <w:szCs w:val="24"/>
          <w:highlight w:val="none"/>
        </w:rPr>
        <w:t>（五）其他主要项目管理人员简历表</w:t>
      </w:r>
      <w:bookmarkEnd w:id="3069"/>
      <w:bookmarkEnd w:id="3070"/>
      <w:bookmarkEnd w:id="3071"/>
      <w:bookmarkEnd w:id="3072"/>
      <w:bookmarkEnd w:id="3073"/>
      <w:bookmarkEnd w:id="3074"/>
      <w:bookmarkEnd w:id="3075"/>
      <w:bookmarkEnd w:id="3076"/>
      <w:bookmarkEnd w:id="3077"/>
      <w:bookmarkEnd w:id="3078"/>
      <w:bookmarkEnd w:id="3079"/>
    </w:p>
    <w:p>
      <w:pPr>
        <w:ind w:firstLine="1050" w:firstLineChars="500"/>
        <w:rPr>
          <w:rFonts w:ascii="宋体" w:hAnsi="宋体"/>
          <w:color w:val="auto"/>
          <w:szCs w:val="21"/>
          <w:highlight w:val="none"/>
        </w:rPr>
      </w:pPr>
    </w:p>
    <w:tbl>
      <w:tblPr>
        <w:tblStyle w:val="2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880"/>
        <w:gridCol w:w="180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68" w:type="dxa"/>
            <w:vAlign w:val="center"/>
          </w:tcPr>
          <w:p>
            <w:pPr>
              <w:spacing w:line="640" w:lineRule="exact"/>
              <w:rPr>
                <w:rFonts w:ascii="宋体" w:hAnsi="宋体"/>
                <w:color w:val="auto"/>
                <w:szCs w:val="21"/>
                <w:highlight w:val="none"/>
              </w:rPr>
            </w:pPr>
            <w:r>
              <w:rPr>
                <w:rFonts w:hint="eastAsia" w:ascii="宋体" w:hAnsi="宋体"/>
                <w:color w:val="auto"/>
                <w:szCs w:val="21"/>
                <w:highlight w:val="none"/>
              </w:rPr>
              <w:t>岗位名称</w:t>
            </w:r>
          </w:p>
        </w:tc>
        <w:tc>
          <w:tcPr>
            <w:tcW w:w="7560" w:type="dxa"/>
            <w:gridSpan w:val="3"/>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68" w:type="dxa"/>
            <w:vAlign w:val="center"/>
          </w:tcPr>
          <w:p>
            <w:pPr>
              <w:rPr>
                <w:rFonts w:ascii="宋体" w:hAnsi="宋体"/>
                <w:color w:val="auto"/>
                <w:szCs w:val="21"/>
                <w:highlight w:val="none"/>
              </w:rPr>
            </w:pPr>
            <w:r>
              <w:rPr>
                <w:rFonts w:hint="eastAsia" w:ascii="宋体" w:hAnsi="宋体"/>
                <w:color w:val="auto"/>
                <w:szCs w:val="21"/>
                <w:highlight w:val="none"/>
              </w:rPr>
              <w:t>姓    名</w:t>
            </w:r>
          </w:p>
        </w:tc>
        <w:tc>
          <w:tcPr>
            <w:tcW w:w="2880" w:type="dxa"/>
            <w:vAlign w:val="center"/>
          </w:tcPr>
          <w:p>
            <w:pPr>
              <w:jc w:val="center"/>
              <w:rPr>
                <w:rFonts w:ascii="宋体" w:hAnsi="宋体"/>
                <w:color w:val="auto"/>
                <w:szCs w:val="21"/>
                <w:highlight w:val="none"/>
              </w:rPr>
            </w:pPr>
          </w:p>
        </w:tc>
        <w:tc>
          <w:tcPr>
            <w:tcW w:w="1800" w:type="dxa"/>
            <w:vAlign w:val="center"/>
          </w:tcPr>
          <w:p>
            <w:pPr>
              <w:rPr>
                <w:rFonts w:ascii="宋体" w:hAnsi="宋体"/>
                <w:color w:val="auto"/>
                <w:szCs w:val="21"/>
                <w:highlight w:val="none"/>
              </w:rPr>
            </w:pPr>
            <w:r>
              <w:rPr>
                <w:rFonts w:hint="eastAsia" w:ascii="宋体" w:hAnsi="宋体"/>
                <w:color w:val="auto"/>
                <w:szCs w:val="21"/>
                <w:highlight w:val="none"/>
              </w:rPr>
              <w:t>年    龄</w:t>
            </w:r>
          </w:p>
        </w:tc>
        <w:tc>
          <w:tcPr>
            <w:tcW w:w="288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68" w:type="dxa"/>
            <w:vAlign w:val="center"/>
          </w:tcPr>
          <w:p>
            <w:pPr>
              <w:rPr>
                <w:rFonts w:ascii="宋体" w:hAnsi="宋体"/>
                <w:color w:val="auto"/>
                <w:szCs w:val="21"/>
                <w:highlight w:val="none"/>
              </w:rPr>
            </w:pPr>
            <w:r>
              <w:rPr>
                <w:rFonts w:hint="eastAsia" w:ascii="宋体" w:hAnsi="宋体"/>
                <w:color w:val="auto"/>
                <w:szCs w:val="21"/>
                <w:highlight w:val="none"/>
              </w:rPr>
              <w:t>性    别</w:t>
            </w:r>
          </w:p>
        </w:tc>
        <w:tc>
          <w:tcPr>
            <w:tcW w:w="2880" w:type="dxa"/>
            <w:vAlign w:val="center"/>
          </w:tcPr>
          <w:p>
            <w:pPr>
              <w:jc w:val="center"/>
              <w:rPr>
                <w:rFonts w:ascii="宋体" w:hAnsi="宋体"/>
                <w:color w:val="auto"/>
                <w:szCs w:val="21"/>
                <w:highlight w:val="none"/>
              </w:rPr>
            </w:pPr>
          </w:p>
        </w:tc>
        <w:tc>
          <w:tcPr>
            <w:tcW w:w="1800" w:type="dxa"/>
            <w:vAlign w:val="center"/>
          </w:tcPr>
          <w:p>
            <w:pPr>
              <w:rPr>
                <w:rFonts w:ascii="宋体" w:hAnsi="宋体"/>
                <w:color w:val="auto"/>
                <w:szCs w:val="21"/>
                <w:highlight w:val="none"/>
              </w:rPr>
            </w:pPr>
            <w:r>
              <w:rPr>
                <w:rFonts w:hint="eastAsia" w:ascii="宋体" w:hAnsi="宋体"/>
                <w:color w:val="auto"/>
                <w:szCs w:val="21"/>
                <w:highlight w:val="none"/>
              </w:rPr>
              <w:t>毕业学校</w:t>
            </w:r>
          </w:p>
        </w:tc>
        <w:tc>
          <w:tcPr>
            <w:tcW w:w="288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68" w:type="dxa"/>
            <w:vAlign w:val="center"/>
          </w:tcPr>
          <w:p>
            <w:pPr>
              <w:rPr>
                <w:rFonts w:ascii="宋体" w:hAnsi="宋体"/>
                <w:color w:val="auto"/>
                <w:szCs w:val="21"/>
                <w:highlight w:val="none"/>
              </w:rPr>
            </w:pPr>
            <w:r>
              <w:rPr>
                <w:rFonts w:hint="eastAsia" w:ascii="宋体" w:hAnsi="宋体"/>
                <w:color w:val="auto"/>
                <w:szCs w:val="21"/>
                <w:highlight w:val="none"/>
              </w:rPr>
              <w:t>学历和专业</w:t>
            </w:r>
          </w:p>
        </w:tc>
        <w:tc>
          <w:tcPr>
            <w:tcW w:w="2880" w:type="dxa"/>
            <w:vAlign w:val="center"/>
          </w:tcPr>
          <w:p>
            <w:pPr>
              <w:jc w:val="center"/>
              <w:rPr>
                <w:rFonts w:ascii="宋体" w:hAnsi="宋体"/>
                <w:color w:val="auto"/>
                <w:szCs w:val="21"/>
                <w:highlight w:val="none"/>
              </w:rPr>
            </w:pPr>
          </w:p>
        </w:tc>
        <w:tc>
          <w:tcPr>
            <w:tcW w:w="1800" w:type="dxa"/>
            <w:vAlign w:val="center"/>
          </w:tcPr>
          <w:p>
            <w:pPr>
              <w:rPr>
                <w:rFonts w:ascii="宋体" w:hAnsi="宋体"/>
                <w:color w:val="auto"/>
                <w:szCs w:val="21"/>
                <w:highlight w:val="none"/>
              </w:rPr>
            </w:pPr>
            <w:r>
              <w:rPr>
                <w:rFonts w:hint="eastAsia" w:ascii="宋体" w:hAnsi="宋体"/>
                <w:color w:val="auto"/>
                <w:szCs w:val="21"/>
                <w:highlight w:val="none"/>
              </w:rPr>
              <w:t>毕业时间</w:t>
            </w:r>
          </w:p>
        </w:tc>
        <w:tc>
          <w:tcPr>
            <w:tcW w:w="288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68" w:type="dxa"/>
            <w:vAlign w:val="center"/>
          </w:tcPr>
          <w:p>
            <w:pPr>
              <w:rPr>
                <w:rFonts w:ascii="宋体" w:hAnsi="宋体"/>
                <w:color w:val="auto"/>
                <w:szCs w:val="21"/>
                <w:highlight w:val="none"/>
              </w:rPr>
            </w:pPr>
            <w:r>
              <w:rPr>
                <w:rFonts w:hint="eastAsia" w:ascii="宋体" w:hAnsi="宋体"/>
                <w:color w:val="auto"/>
                <w:szCs w:val="21"/>
                <w:highlight w:val="none"/>
              </w:rPr>
              <w:t>执业/岗位资格</w:t>
            </w:r>
          </w:p>
        </w:tc>
        <w:tc>
          <w:tcPr>
            <w:tcW w:w="2880" w:type="dxa"/>
            <w:vAlign w:val="center"/>
          </w:tcPr>
          <w:p>
            <w:pPr>
              <w:jc w:val="center"/>
              <w:rPr>
                <w:rFonts w:ascii="宋体" w:hAnsi="宋体"/>
                <w:color w:val="auto"/>
                <w:szCs w:val="21"/>
                <w:highlight w:val="none"/>
              </w:rPr>
            </w:pPr>
          </w:p>
        </w:tc>
        <w:tc>
          <w:tcPr>
            <w:tcW w:w="1800" w:type="dxa"/>
            <w:vAlign w:val="center"/>
          </w:tcPr>
          <w:p>
            <w:pPr>
              <w:rPr>
                <w:rFonts w:ascii="宋体" w:hAnsi="宋体"/>
                <w:color w:val="auto"/>
                <w:szCs w:val="21"/>
                <w:highlight w:val="none"/>
              </w:rPr>
            </w:pPr>
            <w:r>
              <w:rPr>
                <w:rFonts w:hint="eastAsia" w:ascii="宋体" w:hAnsi="宋体"/>
                <w:color w:val="auto"/>
                <w:szCs w:val="21"/>
                <w:highlight w:val="none"/>
              </w:rPr>
              <w:t>专业职称</w:t>
            </w:r>
          </w:p>
        </w:tc>
        <w:tc>
          <w:tcPr>
            <w:tcW w:w="2880" w:type="dxa"/>
            <w:vAlign w:val="center"/>
          </w:tcPr>
          <w:p>
            <w:pP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68" w:type="dxa"/>
            <w:vAlign w:val="center"/>
          </w:tcPr>
          <w:p>
            <w:pPr>
              <w:rPr>
                <w:rFonts w:ascii="宋体" w:hAnsi="宋体"/>
                <w:color w:val="auto"/>
                <w:szCs w:val="21"/>
                <w:highlight w:val="none"/>
              </w:rPr>
            </w:pPr>
            <w:r>
              <w:rPr>
                <w:rFonts w:hint="eastAsia" w:ascii="宋体" w:hAnsi="宋体"/>
                <w:color w:val="auto"/>
                <w:szCs w:val="21"/>
                <w:highlight w:val="none"/>
              </w:rPr>
              <w:t>执业/岗位</w:t>
            </w:r>
          </w:p>
          <w:p>
            <w:pPr>
              <w:rPr>
                <w:rFonts w:ascii="宋体" w:hAnsi="宋体"/>
                <w:color w:val="auto"/>
                <w:szCs w:val="21"/>
                <w:highlight w:val="none"/>
              </w:rPr>
            </w:pPr>
            <w:r>
              <w:rPr>
                <w:rFonts w:hint="eastAsia" w:ascii="宋体" w:hAnsi="宋体"/>
                <w:color w:val="auto"/>
                <w:szCs w:val="21"/>
                <w:highlight w:val="none"/>
              </w:rPr>
              <w:t>证书编号</w:t>
            </w:r>
          </w:p>
        </w:tc>
        <w:tc>
          <w:tcPr>
            <w:tcW w:w="2880" w:type="dxa"/>
            <w:vAlign w:val="center"/>
          </w:tcPr>
          <w:p>
            <w:pPr>
              <w:jc w:val="center"/>
              <w:rPr>
                <w:rFonts w:ascii="宋体" w:hAnsi="宋体"/>
                <w:color w:val="auto"/>
                <w:szCs w:val="21"/>
                <w:highlight w:val="none"/>
              </w:rPr>
            </w:pPr>
          </w:p>
        </w:tc>
        <w:tc>
          <w:tcPr>
            <w:tcW w:w="1800" w:type="dxa"/>
            <w:vAlign w:val="center"/>
          </w:tcPr>
          <w:p>
            <w:pPr>
              <w:rPr>
                <w:rFonts w:ascii="宋体" w:hAnsi="宋体"/>
                <w:color w:val="auto"/>
                <w:szCs w:val="21"/>
                <w:highlight w:val="none"/>
              </w:rPr>
            </w:pPr>
            <w:r>
              <w:rPr>
                <w:rFonts w:hint="eastAsia" w:ascii="宋体" w:hAnsi="宋体"/>
                <w:color w:val="auto"/>
                <w:szCs w:val="21"/>
                <w:highlight w:val="none"/>
              </w:rPr>
              <w:t>专业工作年限</w:t>
            </w:r>
          </w:p>
        </w:tc>
        <w:tc>
          <w:tcPr>
            <w:tcW w:w="2880" w:type="dxa"/>
            <w:vAlign w:val="center"/>
          </w:tcPr>
          <w:p>
            <w:pPr>
              <w:jc w:val="center"/>
              <w:rPr>
                <w:rFonts w:ascii="宋体" w:hAnsi="宋体"/>
                <w:color w:val="auto"/>
                <w:szCs w:val="21"/>
                <w:highlight w:val="none"/>
              </w:rPr>
            </w:pPr>
          </w:p>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3" w:hRule="atLeast"/>
        </w:trPr>
        <w:tc>
          <w:tcPr>
            <w:tcW w:w="1368" w:type="dxa"/>
          </w:tcPr>
          <w:p>
            <w:pPr>
              <w:jc w:val="left"/>
              <w:rPr>
                <w:rFonts w:ascii="宋体" w:hAnsi="宋体"/>
                <w:color w:val="auto"/>
                <w:szCs w:val="21"/>
                <w:highlight w:val="none"/>
              </w:rPr>
            </w:pPr>
          </w:p>
          <w:p>
            <w:pPr>
              <w:jc w:val="left"/>
              <w:rPr>
                <w:rFonts w:ascii="宋体" w:hAnsi="宋体"/>
                <w:color w:val="auto"/>
                <w:szCs w:val="21"/>
                <w:highlight w:val="none"/>
              </w:rPr>
            </w:pPr>
          </w:p>
          <w:p>
            <w:pPr>
              <w:jc w:val="left"/>
              <w:rPr>
                <w:rFonts w:ascii="宋体" w:hAnsi="宋体"/>
                <w:color w:val="auto"/>
                <w:szCs w:val="21"/>
                <w:highlight w:val="none"/>
              </w:rPr>
            </w:pPr>
          </w:p>
          <w:p>
            <w:pPr>
              <w:ind w:firstLine="210" w:firstLineChars="100"/>
              <w:jc w:val="left"/>
              <w:rPr>
                <w:rFonts w:ascii="宋体" w:hAnsi="宋体"/>
                <w:color w:val="auto"/>
                <w:szCs w:val="21"/>
                <w:highlight w:val="none"/>
              </w:rPr>
            </w:pPr>
            <w:r>
              <w:rPr>
                <w:rFonts w:hint="eastAsia" w:ascii="宋体" w:hAnsi="宋体"/>
                <w:color w:val="auto"/>
                <w:szCs w:val="21"/>
                <w:highlight w:val="none"/>
              </w:rPr>
              <w:t>主</w:t>
            </w:r>
          </w:p>
          <w:p>
            <w:pPr>
              <w:ind w:firstLine="210" w:firstLineChars="100"/>
              <w:jc w:val="left"/>
              <w:rPr>
                <w:rFonts w:ascii="宋体" w:hAnsi="宋体"/>
                <w:color w:val="auto"/>
                <w:szCs w:val="21"/>
                <w:highlight w:val="none"/>
              </w:rPr>
            </w:pPr>
            <w:r>
              <w:rPr>
                <w:rFonts w:hint="eastAsia" w:ascii="宋体" w:hAnsi="宋体"/>
                <w:color w:val="auto"/>
                <w:szCs w:val="21"/>
                <w:highlight w:val="none"/>
              </w:rPr>
              <w:t>要</w:t>
            </w:r>
          </w:p>
          <w:p>
            <w:pPr>
              <w:ind w:firstLine="210" w:firstLineChars="100"/>
              <w:jc w:val="left"/>
              <w:rPr>
                <w:rFonts w:ascii="宋体" w:hAnsi="宋体"/>
                <w:color w:val="auto"/>
                <w:szCs w:val="21"/>
                <w:highlight w:val="none"/>
              </w:rPr>
            </w:pPr>
            <w:r>
              <w:rPr>
                <w:rFonts w:hint="eastAsia" w:ascii="宋体" w:hAnsi="宋体"/>
                <w:color w:val="auto"/>
                <w:szCs w:val="21"/>
                <w:highlight w:val="none"/>
              </w:rPr>
              <w:t>工</w:t>
            </w:r>
          </w:p>
          <w:p>
            <w:pPr>
              <w:ind w:firstLine="210" w:firstLineChars="100"/>
              <w:jc w:val="left"/>
              <w:rPr>
                <w:rFonts w:ascii="宋体" w:hAnsi="宋体"/>
                <w:color w:val="auto"/>
                <w:szCs w:val="21"/>
                <w:highlight w:val="none"/>
              </w:rPr>
            </w:pPr>
            <w:r>
              <w:rPr>
                <w:rFonts w:hint="eastAsia" w:ascii="宋体" w:hAnsi="宋体"/>
                <w:color w:val="auto"/>
                <w:szCs w:val="21"/>
                <w:highlight w:val="none"/>
              </w:rPr>
              <w:t>作</w:t>
            </w:r>
          </w:p>
          <w:p>
            <w:pPr>
              <w:ind w:firstLine="210" w:firstLineChars="100"/>
              <w:jc w:val="left"/>
              <w:rPr>
                <w:rFonts w:ascii="宋体" w:hAnsi="宋体"/>
                <w:color w:val="auto"/>
                <w:szCs w:val="21"/>
                <w:highlight w:val="none"/>
              </w:rPr>
            </w:pPr>
            <w:r>
              <w:rPr>
                <w:rFonts w:hint="eastAsia" w:ascii="宋体" w:hAnsi="宋体"/>
                <w:color w:val="auto"/>
                <w:szCs w:val="21"/>
                <w:highlight w:val="none"/>
              </w:rPr>
              <w:t>业</w:t>
            </w:r>
          </w:p>
          <w:p>
            <w:pPr>
              <w:ind w:firstLine="210" w:firstLineChars="100"/>
              <w:jc w:val="left"/>
              <w:rPr>
                <w:rFonts w:ascii="宋体" w:hAnsi="宋体"/>
                <w:color w:val="auto"/>
                <w:szCs w:val="21"/>
                <w:highlight w:val="none"/>
              </w:rPr>
            </w:pPr>
            <w:r>
              <w:rPr>
                <w:rFonts w:hint="eastAsia" w:ascii="宋体" w:hAnsi="宋体"/>
                <w:color w:val="auto"/>
                <w:szCs w:val="21"/>
                <w:highlight w:val="none"/>
              </w:rPr>
              <w:t>绩</w:t>
            </w:r>
          </w:p>
          <w:p>
            <w:pPr>
              <w:ind w:firstLine="210" w:firstLineChars="100"/>
              <w:jc w:val="left"/>
              <w:rPr>
                <w:rFonts w:ascii="宋体" w:hAnsi="宋体"/>
                <w:color w:val="auto"/>
                <w:szCs w:val="21"/>
                <w:highlight w:val="none"/>
              </w:rPr>
            </w:pPr>
            <w:r>
              <w:rPr>
                <w:rFonts w:hint="eastAsia" w:ascii="宋体" w:hAnsi="宋体"/>
                <w:color w:val="auto"/>
                <w:szCs w:val="21"/>
                <w:highlight w:val="none"/>
              </w:rPr>
              <w:t>及</w:t>
            </w:r>
          </w:p>
          <w:p>
            <w:pPr>
              <w:ind w:firstLine="210" w:firstLineChars="100"/>
              <w:jc w:val="left"/>
              <w:rPr>
                <w:rFonts w:ascii="宋体" w:hAnsi="宋体"/>
                <w:color w:val="auto"/>
                <w:szCs w:val="21"/>
                <w:highlight w:val="none"/>
              </w:rPr>
            </w:pPr>
            <w:r>
              <w:rPr>
                <w:rFonts w:hint="eastAsia" w:ascii="宋体" w:hAnsi="宋体"/>
                <w:color w:val="auto"/>
                <w:szCs w:val="21"/>
                <w:highlight w:val="none"/>
              </w:rPr>
              <w:t>担</w:t>
            </w:r>
          </w:p>
          <w:p>
            <w:pPr>
              <w:ind w:firstLine="210" w:firstLineChars="100"/>
              <w:jc w:val="left"/>
              <w:rPr>
                <w:rFonts w:ascii="宋体" w:hAnsi="宋体"/>
                <w:color w:val="auto"/>
                <w:szCs w:val="21"/>
                <w:highlight w:val="none"/>
              </w:rPr>
            </w:pPr>
            <w:r>
              <w:rPr>
                <w:rFonts w:hint="eastAsia" w:ascii="宋体" w:hAnsi="宋体"/>
                <w:color w:val="auto"/>
                <w:szCs w:val="21"/>
                <w:highlight w:val="none"/>
              </w:rPr>
              <w:t>任</w:t>
            </w:r>
          </w:p>
          <w:p>
            <w:pPr>
              <w:ind w:firstLine="210" w:firstLineChars="100"/>
              <w:jc w:val="left"/>
              <w:rPr>
                <w:rFonts w:ascii="宋体" w:hAnsi="宋体"/>
                <w:color w:val="auto"/>
                <w:szCs w:val="21"/>
                <w:highlight w:val="none"/>
              </w:rPr>
            </w:pPr>
            <w:r>
              <w:rPr>
                <w:rFonts w:hint="eastAsia" w:ascii="宋体" w:hAnsi="宋体"/>
                <w:color w:val="auto"/>
                <w:szCs w:val="21"/>
                <w:highlight w:val="none"/>
              </w:rPr>
              <w:t>的</w:t>
            </w:r>
          </w:p>
          <w:p>
            <w:pPr>
              <w:ind w:firstLine="210" w:firstLineChars="100"/>
              <w:jc w:val="left"/>
              <w:rPr>
                <w:rFonts w:ascii="宋体" w:hAnsi="宋体"/>
                <w:color w:val="auto"/>
                <w:szCs w:val="21"/>
                <w:highlight w:val="none"/>
              </w:rPr>
            </w:pPr>
            <w:r>
              <w:rPr>
                <w:rFonts w:hint="eastAsia" w:ascii="宋体" w:hAnsi="宋体"/>
                <w:color w:val="auto"/>
                <w:szCs w:val="21"/>
                <w:highlight w:val="none"/>
              </w:rPr>
              <w:t>主</w:t>
            </w:r>
          </w:p>
          <w:p>
            <w:pPr>
              <w:ind w:firstLine="210" w:firstLineChars="100"/>
              <w:jc w:val="left"/>
              <w:rPr>
                <w:rFonts w:ascii="宋体" w:hAnsi="宋体"/>
                <w:color w:val="auto"/>
                <w:szCs w:val="21"/>
                <w:highlight w:val="none"/>
              </w:rPr>
            </w:pPr>
            <w:r>
              <w:rPr>
                <w:rFonts w:hint="eastAsia" w:ascii="宋体" w:hAnsi="宋体"/>
                <w:color w:val="auto"/>
                <w:szCs w:val="21"/>
                <w:highlight w:val="none"/>
              </w:rPr>
              <w:t>要</w:t>
            </w:r>
          </w:p>
          <w:p>
            <w:pPr>
              <w:ind w:firstLine="210" w:firstLineChars="100"/>
              <w:jc w:val="left"/>
              <w:rPr>
                <w:rFonts w:ascii="宋体" w:hAnsi="宋体"/>
                <w:color w:val="auto"/>
                <w:szCs w:val="21"/>
                <w:highlight w:val="none"/>
              </w:rPr>
            </w:pPr>
            <w:r>
              <w:rPr>
                <w:rFonts w:hint="eastAsia" w:ascii="宋体" w:hAnsi="宋体"/>
                <w:color w:val="auto"/>
                <w:szCs w:val="21"/>
                <w:highlight w:val="none"/>
              </w:rPr>
              <w:t>工</w:t>
            </w:r>
          </w:p>
          <w:p>
            <w:pPr>
              <w:ind w:firstLine="210" w:firstLineChars="100"/>
              <w:jc w:val="left"/>
              <w:rPr>
                <w:rFonts w:ascii="宋体" w:hAnsi="宋体"/>
                <w:color w:val="auto"/>
                <w:szCs w:val="21"/>
                <w:highlight w:val="none"/>
              </w:rPr>
            </w:pPr>
            <w:r>
              <w:rPr>
                <w:rFonts w:hint="eastAsia" w:ascii="宋体" w:hAnsi="宋体"/>
                <w:color w:val="auto"/>
                <w:szCs w:val="21"/>
                <w:highlight w:val="none"/>
              </w:rPr>
              <w:t>作</w:t>
            </w:r>
          </w:p>
        </w:tc>
        <w:tc>
          <w:tcPr>
            <w:tcW w:w="7560" w:type="dxa"/>
            <w:gridSpan w:val="3"/>
          </w:tcPr>
          <w:p>
            <w:pPr>
              <w:rPr>
                <w:rFonts w:ascii="宋体" w:hAnsi="宋体"/>
                <w:color w:val="auto"/>
                <w:szCs w:val="21"/>
                <w:highlight w:val="none"/>
              </w:rPr>
            </w:pPr>
          </w:p>
        </w:tc>
      </w:tr>
    </w:tbl>
    <w:p>
      <w:pPr>
        <w:ind w:left="525" w:hanging="525" w:hangingChars="250"/>
        <w:rPr>
          <w:rFonts w:ascii="宋体" w:hAnsi="宋体"/>
          <w:color w:val="auto"/>
          <w:highlight w:val="none"/>
        </w:rPr>
      </w:pPr>
    </w:p>
    <w:p>
      <w:pPr>
        <w:ind w:left="525" w:hanging="525" w:hangingChars="250"/>
        <w:rPr>
          <w:rFonts w:ascii="宋体" w:hAnsi="宋体"/>
          <w:color w:val="auto"/>
          <w:highlight w:val="none"/>
        </w:rPr>
      </w:pPr>
    </w:p>
    <w:p>
      <w:pPr>
        <w:ind w:left="840" w:hanging="840" w:hangingChars="400"/>
        <w:rPr>
          <w:rFonts w:ascii="宋体" w:hAnsi="宋体"/>
          <w:color w:val="auto"/>
          <w:highlight w:val="none"/>
        </w:rPr>
      </w:pPr>
      <w:r>
        <w:rPr>
          <w:rFonts w:hint="eastAsia" w:ascii="宋体" w:hAnsi="宋体"/>
          <w:color w:val="auto"/>
          <w:highlight w:val="none"/>
        </w:rPr>
        <w:t>备注：</w:t>
      </w:r>
      <w:r>
        <w:rPr>
          <w:rFonts w:hint="eastAsia"/>
          <w:color w:val="auto"/>
          <w:highlight w:val="none"/>
        </w:rPr>
        <w:t>1</w:t>
      </w:r>
      <w:r>
        <w:rPr>
          <w:rFonts w:hint="eastAsia" w:ascii="宋体" w:hAnsi="宋体"/>
          <w:color w:val="auto"/>
          <w:highlight w:val="none"/>
        </w:rPr>
        <w:t>.其他主要项目管理人员指</w:t>
      </w:r>
      <w:r>
        <w:rPr>
          <w:rFonts w:ascii="宋体" w:hAnsi="宋体"/>
          <w:color w:val="auto"/>
          <w:highlight w:val="none"/>
        </w:rPr>
        <w:t>现场管理人员</w:t>
      </w:r>
      <w:r>
        <w:rPr>
          <w:rFonts w:hint="eastAsia" w:ascii="宋体" w:hAnsi="宋体"/>
          <w:color w:val="auto"/>
          <w:highlight w:val="none"/>
        </w:rPr>
        <w:t>，如</w:t>
      </w:r>
      <w:r>
        <w:rPr>
          <w:rFonts w:ascii="宋体" w:hAnsi="宋体"/>
          <w:color w:val="auto"/>
          <w:highlight w:val="none"/>
        </w:rPr>
        <w:t>施工员、质量员、安全员</w:t>
      </w:r>
      <w:r>
        <w:rPr>
          <w:rFonts w:hint="eastAsia" w:ascii="宋体" w:hAnsi="宋体"/>
          <w:color w:val="auto"/>
          <w:highlight w:val="none"/>
        </w:rPr>
        <w:t>、材料员、资料员等岗位人员。</w:t>
      </w:r>
      <w:r>
        <w:rPr>
          <w:rFonts w:ascii="宋体" w:hAnsi="宋体"/>
          <w:color w:val="auto"/>
          <w:highlight w:val="none"/>
        </w:rPr>
        <w:t>施工员、质量员、</w:t>
      </w:r>
      <w:r>
        <w:rPr>
          <w:rFonts w:hint="eastAsia" w:ascii="宋体" w:hAnsi="宋体"/>
          <w:color w:val="auto"/>
          <w:highlight w:val="none"/>
        </w:rPr>
        <w:t>材料员、资料员应附岗位培训考核合格证书</w:t>
      </w:r>
      <w:r>
        <w:rPr>
          <w:rFonts w:hint="eastAsia" w:ascii="宋体" w:hAnsi="宋体"/>
          <w:color w:val="auto"/>
          <w:szCs w:val="21"/>
          <w:highlight w:val="none"/>
        </w:rPr>
        <w:t>扫描件</w:t>
      </w:r>
      <w:r>
        <w:rPr>
          <w:rFonts w:hint="eastAsia" w:ascii="宋体" w:hAnsi="宋体"/>
          <w:color w:val="auto"/>
          <w:highlight w:val="none"/>
        </w:rPr>
        <w:t>,安全员应附有效的安全生产考核合格证书（C证）</w:t>
      </w:r>
      <w:r>
        <w:rPr>
          <w:rFonts w:hint="eastAsia" w:ascii="宋体" w:hAnsi="宋体"/>
          <w:color w:val="auto"/>
          <w:szCs w:val="21"/>
          <w:highlight w:val="none"/>
        </w:rPr>
        <w:t>扫描件</w:t>
      </w:r>
      <w:r>
        <w:rPr>
          <w:rFonts w:hint="eastAsia" w:ascii="宋体" w:hAnsi="宋体"/>
          <w:color w:val="auto"/>
          <w:highlight w:val="none"/>
        </w:rPr>
        <w:t>。</w:t>
      </w:r>
    </w:p>
    <w:p>
      <w:pPr>
        <w:ind w:firstLine="630" w:firstLineChars="300"/>
        <w:rPr>
          <w:color w:val="auto"/>
          <w:highlight w:val="none"/>
        </w:rPr>
      </w:pPr>
      <w:r>
        <w:rPr>
          <w:rFonts w:hint="eastAsia"/>
          <w:color w:val="auto"/>
          <w:szCs w:val="21"/>
          <w:highlight w:val="none"/>
        </w:rPr>
        <w:t>2</w:t>
      </w:r>
      <w:r>
        <w:rPr>
          <w:rFonts w:hint="eastAsia" w:ascii="宋体" w:hAnsi="宋体"/>
          <w:color w:val="auto"/>
          <w:szCs w:val="21"/>
          <w:highlight w:val="none"/>
        </w:rPr>
        <w:t>.每张表格只填写一个人，并标明序号</w:t>
      </w:r>
      <w:r>
        <w:rPr>
          <w:rFonts w:hint="eastAsia" w:ascii="宋体" w:hAnsi="宋体"/>
          <w:color w:val="auto"/>
          <w:highlight w:val="none"/>
        </w:rPr>
        <w:t>。</w:t>
      </w:r>
    </w:p>
    <w:p>
      <w:pPr>
        <w:rPr>
          <w:color w:val="auto"/>
          <w:highlight w:val="none"/>
        </w:rPr>
      </w:pPr>
    </w:p>
    <w:p>
      <w:pPr>
        <w:rPr>
          <w:color w:val="auto"/>
          <w:highlight w:val="none"/>
        </w:rPr>
      </w:pPr>
    </w:p>
    <w:p>
      <w:pPr>
        <w:rPr>
          <w:color w:val="auto"/>
          <w:highlight w:val="none"/>
        </w:rPr>
      </w:pPr>
    </w:p>
    <w:p>
      <w:pPr>
        <w:rPr>
          <w:color w:val="auto"/>
          <w:highlight w:val="none"/>
        </w:rPr>
      </w:pPr>
    </w:p>
    <w:bookmarkEnd w:id="3033"/>
    <w:bookmarkEnd w:id="3034"/>
    <w:bookmarkEnd w:id="3035"/>
    <w:bookmarkEnd w:id="3036"/>
    <w:p>
      <w:pPr>
        <w:pStyle w:val="20"/>
        <w:jc w:val="center"/>
        <w:outlineLvl w:val="2"/>
        <w:rPr>
          <w:color w:val="auto"/>
          <w:highlight w:val="none"/>
        </w:rPr>
      </w:pPr>
      <w:bookmarkStart w:id="3080" w:name="_Toc279401978"/>
      <w:bookmarkStart w:id="3081" w:name="_Toc2020"/>
      <w:bookmarkStart w:id="3082" w:name="_Toc336192503"/>
      <w:bookmarkStart w:id="3083" w:name="_Toc288066322"/>
      <w:bookmarkStart w:id="3084" w:name="_Toc25027"/>
      <w:bookmarkStart w:id="3085" w:name="_Toc183490947"/>
      <w:bookmarkStart w:id="3086" w:name="_Toc30931"/>
      <w:bookmarkStart w:id="3087" w:name="_Toc8253"/>
      <w:bookmarkStart w:id="3088" w:name="_Toc336192591"/>
      <w:bookmarkStart w:id="3089" w:name="_Toc325129584"/>
      <w:bookmarkStart w:id="3090" w:name="_Toc17152"/>
      <w:bookmarkStart w:id="3091" w:name="_Toc28725"/>
      <w:bookmarkStart w:id="3092" w:name="_Toc380568810"/>
      <w:bookmarkStart w:id="3093" w:name="_Toc2006491468"/>
      <w:bookmarkStart w:id="3094" w:name="_Toc323220050"/>
      <w:r>
        <w:rPr>
          <w:rFonts w:hint="eastAsia"/>
          <w:color w:val="auto"/>
          <w:highlight w:val="none"/>
          <w:lang w:val="en-US" w:eastAsia="zh-CN"/>
        </w:rPr>
        <w:t>九</w:t>
      </w:r>
      <w:r>
        <w:rPr>
          <w:color w:val="auto"/>
          <w:highlight w:val="none"/>
        </w:rPr>
        <w:t>、资格审查资料</w:t>
      </w:r>
      <w:bookmarkEnd w:id="3080"/>
      <w:bookmarkEnd w:id="3081"/>
      <w:bookmarkEnd w:id="3082"/>
      <w:bookmarkEnd w:id="3083"/>
      <w:bookmarkEnd w:id="3084"/>
      <w:bookmarkEnd w:id="3085"/>
      <w:bookmarkEnd w:id="3086"/>
      <w:bookmarkEnd w:id="3087"/>
      <w:bookmarkEnd w:id="3088"/>
      <w:bookmarkEnd w:id="3089"/>
      <w:bookmarkEnd w:id="3090"/>
      <w:bookmarkEnd w:id="3091"/>
      <w:bookmarkEnd w:id="3092"/>
      <w:bookmarkEnd w:id="3093"/>
      <w:bookmarkEnd w:id="3094"/>
    </w:p>
    <w:p>
      <w:pPr>
        <w:pStyle w:val="32"/>
        <w:jc w:val="left"/>
        <w:outlineLvl w:val="3"/>
        <w:rPr>
          <w:color w:val="auto"/>
          <w:sz w:val="24"/>
          <w:szCs w:val="24"/>
          <w:highlight w:val="none"/>
        </w:rPr>
      </w:pPr>
      <w:bookmarkStart w:id="3095" w:name="_Toc1083462228"/>
      <w:bookmarkStart w:id="3096" w:name="_Toc325129585"/>
      <w:bookmarkStart w:id="3097" w:name="_Toc32323"/>
      <w:bookmarkStart w:id="3098" w:name="_Toc28159"/>
      <w:bookmarkStart w:id="3099" w:name="_Toc288066323"/>
      <w:bookmarkStart w:id="3100" w:name="_Toc563239832"/>
      <w:bookmarkStart w:id="3101" w:name="_Toc279401979"/>
      <w:bookmarkStart w:id="3102" w:name="_Toc12703"/>
      <w:bookmarkStart w:id="3103" w:name="_Toc27079"/>
      <w:bookmarkStart w:id="3104" w:name="_Toc336192504"/>
      <w:bookmarkStart w:id="3105" w:name="_Toc323220051"/>
      <w:bookmarkStart w:id="3106" w:name="_Toc109149971"/>
      <w:bookmarkStart w:id="3107" w:name="_Toc7672"/>
      <w:bookmarkStart w:id="3108" w:name="_Toc25067"/>
      <w:r>
        <w:rPr>
          <w:color w:val="auto"/>
          <w:sz w:val="24"/>
          <w:szCs w:val="24"/>
          <w:highlight w:val="none"/>
        </w:rPr>
        <w:t>（一）投标人基本情况</w:t>
      </w:r>
      <w:bookmarkEnd w:id="3095"/>
      <w:bookmarkEnd w:id="3096"/>
      <w:bookmarkEnd w:id="3097"/>
      <w:bookmarkEnd w:id="3098"/>
      <w:bookmarkEnd w:id="3099"/>
      <w:bookmarkEnd w:id="3100"/>
      <w:bookmarkEnd w:id="3101"/>
      <w:bookmarkEnd w:id="3102"/>
      <w:bookmarkEnd w:id="3103"/>
      <w:bookmarkEnd w:id="3104"/>
      <w:bookmarkEnd w:id="3105"/>
      <w:bookmarkEnd w:id="3106"/>
      <w:bookmarkEnd w:id="3107"/>
      <w:bookmarkEnd w:id="3108"/>
    </w:p>
    <w:p>
      <w:pPr>
        <w:jc w:val="center"/>
        <w:rPr>
          <w:color w:val="auto"/>
          <w:sz w:val="24"/>
          <w:highlight w:val="none"/>
        </w:rPr>
      </w:pPr>
      <w:bookmarkStart w:id="3109" w:name="_Toc32552"/>
      <w:bookmarkStart w:id="3110" w:name="_Toc426496257"/>
      <w:bookmarkStart w:id="3111" w:name="_Toc1363268601"/>
      <w:bookmarkStart w:id="3112" w:name="_Toc27503"/>
      <w:bookmarkStart w:id="3113" w:name="_Toc429598783"/>
      <w:bookmarkStart w:id="3114" w:name="_Toc8607"/>
      <w:bookmarkStart w:id="3115" w:name="_Toc27504"/>
      <w:bookmarkStart w:id="3116" w:name="_Toc23582"/>
    </w:p>
    <w:p>
      <w:pPr>
        <w:pStyle w:val="8"/>
        <w:jc w:val="center"/>
        <w:rPr>
          <w:b/>
          <w:bCs/>
          <w:color w:val="auto"/>
          <w:sz w:val="24"/>
          <w:highlight w:val="none"/>
        </w:rPr>
      </w:pPr>
      <w:r>
        <w:rPr>
          <w:rFonts w:hint="eastAsia"/>
          <w:b/>
          <w:bCs/>
          <w:color w:val="auto"/>
          <w:sz w:val="24"/>
          <w:highlight w:val="none"/>
        </w:rPr>
        <w:t>1-1投标人基本情况表</w:t>
      </w:r>
      <w:bookmarkEnd w:id="3109"/>
      <w:bookmarkEnd w:id="3110"/>
      <w:bookmarkEnd w:id="3111"/>
      <w:bookmarkEnd w:id="3112"/>
      <w:bookmarkEnd w:id="3113"/>
      <w:bookmarkEnd w:id="3114"/>
      <w:bookmarkEnd w:id="3115"/>
      <w:bookmarkEnd w:id="3116"/>
    </w:p>
    <w:tbl>
      <w:tblPr>
        <w:tblStyle w:val="28"/>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9"/>
        <w:gridCol w:w="1080"/>
        <w:gridCol w:w="970"/>
        <w:gridCol w:w="770"/>
        <w:gridCol w:w="406"/>
        <w:gridCol w:w="194"/>
        <w:gridCol w:w="1080"/>
        <w:gridCol w:w="69"/>
        <w:gridCol w:w="1191"/>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投标人名称</w:t>
            </w:r>
          </w:p>
        </w:tc>
        <w:tc>
          <w:tcPr>
            <w:tcW w:w="6998" w:type="dxa"/>
            <w:gridSpan w:val="9"/>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注册地址</w:t>
            </w:r>
          </w:p>
        </w:tc>
        <w:tc>
          <w:tcPr>
            <w:tcW w:w="3226" w:type="dxa"/>
            <w:gridSpan w:val="4"/>
            <w:vAlign w:val="center"/>
          </w:tcPr>
          <w:p>
            <w:pPr>
              <w:jc w:val="center"/>
              <w:rPr>
                <w:color w:val="auto"/>
                <w:szCs w:val="21"/>
                <w:highlight w:val="none"/>
              </w:rPr>
            </w:pPr>
          </w:p>
        </w:tc>
        <w:tc>
          <w:tcPr>
            <w:tcW w:w="1274" w:type="dxa"/>
            <w:gridSpan w:val="2"/>
            <w:vAlign w:val="center"/>
          </w:tcPr>
          <w:p>
            <w:pPr>
              <w:jc w:val="center"/>
              <w:rPr>
                <w:color w:val="auto"/>
                <w:szCs w:val="21"/>
                <w:highlight w:val="none"/>
              </w:rPr>
            </w:pPr>
            <w:r>
              <w:rPr>
                <w:color w:val="auto"/>
                <w:szCs w:val="21"/>
                <w:highlight w:val="none"/>
              </w:rPr>
              <w:t>邮政编码</w:t>
            </w:r>
          </w:p>
        </w:tc>
        <w:tc>
          <w:tcPr>
            <w:tcW w:w="2498" w:type="dxa"/>
            <w:gridSpan w:val="3"/>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Merge w:val="restart"/>
            <w:vAlign w:val="center"/>
          </w:tcPr>
          <w:p>
            <w:pPr>
              <w:jc w:val="center"/>
              <w:rPr>
                <w:color w:val="auto"/>
                <w:szCs w:val="21"/>
                <w:highlight w:val="none"/>
              </w:rPr>
            </w:pPr>
            <w:r>
              <w:rPr>
                <w:color w:val="auto"/>
                <w:szCs w:val="21"/>
                <w:highlight w:val="none"/>
              </w:rPr>
              <w:t>联系方式</w:t>
            </w:r>
          </w:p>
        </w:tc>
        <w:tc>
          <w:tcPr>
            <w:tcW w:w="1080" w:type="dxa"/>
            <w:vAlign w:val="center"/>
          </w:tcPr>
          <w:p>
            <w:pPr>
              <w:jc w:val="center"/>
              <w:rPr>
                <w:color w:val="auto"/>
                <w:szCs w:val="21"/>
                <w:highlight w:val="none"/>
              </w:rPr>
            </w:pPr>
            <w:r>
              <w:rPr>
                <w:color w:val="auto"/>
                <w:szCs w:val="21"/>
                <w:highlight w:val="none"/>
              </w:rPr>
              <w:t>联系人</w:t>
            </w:r>
          </w:p>
        </w:tc>
        <w:tc>
          <w:tcPr>
            <w:tcW w:w="2146" w:type="dxa"/>
            <w:gridSpan w:val="3"/>
            <w:vAlign w:val="center"/>
          </w:tcPr>
          <w:p>
            <w:pPr>
              <w:jc w:val="center"/>
              <w:rPr>
                <w:color w:val="auto"/>
                <w:szCs w:val="21"/>
                <w:highlight w:val="none"/>
              </w:rPr>
            </w:pPr>
          </w:p>
        </w:tc>
        <w:tc>
          <w:tcPr>
            <w:tcW w:w="1274" w:type="dxa"/>
            <w:gridSpan w:val="2"/>
            <w:vAlign w:val="center"/>
          </w:tcPr>
          <w:p>
            <w:pPr>
              <w:jc w:val="center"/>
              <w:rPr>
                <w:color w:val="auto"/>
                <w:szCs w:val="21"/>
                <w:highlight w:val="none"/>
              </w:rPr>
            </w:pPr>
            <w:r>
              <w:rPr>
                <w:color w:val="auto"/>
                <w:szCs w:val="21"/>
                <w:highlight w:val="none"/>
              </w:rPr>
              <w:t>电    话</w:t>
            </w:r>
          </w:p>
        </w:tc>
        <w:tc>
          <w:tcPr>
            <w:tcW w:w="2498" w:type="dxa"/>
            <w:gridSpan w:val="3"/>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Merge w:val="continue"/>
            <w:vAlign w:val="center"/>
          </w:tcPr>
          <w:p>
            <w:pPr>
              <w:jc w:val="center"/>
              <w:rPr>
                <w:color w:val="auto"/>
                <w:szCs w:val="21"/>
                <w:highlight w:val="none"/>
              </w:rPr>
            </w:pPr>
          </w:p>
        </w:tc>
        <w:tc>
          <w:tcPr>
            <w:tcW w:w="1080" w:type="dxa"/>
            <w:vAlign w:val="center"/>
          </w:tcPr>
          <w:p>
            <w:pPr>
              <w:jc w:val="center"/>
              <w:rPr>
                <w:color w:val="auto"/>
                <w:szCs w:val="21"/>
                <w:highlight w:val="none"/>
              </w:rPr>
            </w:pPr>
            <w:r>
              <w:rPr>
                <w:color w:val="auto"/>
                <w:szCs w:val="21"/>
                <w:highlight w:val="none"/>
              </w:rPr>
              <w:t>传  真</w:t>
            </w:r>
          </w:p>
        </w:tc>
        <w:tc>
          <w:tcPr>
            <w:tcW w:w="2146" w:type="dxa"/>
            <w:gridSpan w:val="3"/>
            <w:vAlign w:val="center"/>
          </w:tcPr>
          <w:p>
            <w:pPr>
              <w:jc w:val="center"/>
              <w:rPr>
                <w:color w:val="auto"/>
                <w:szCs w:val="21"/>
                <w:highlight w:val="none"/>
              </w:rPr>
            </w:pPr>
          </w:p>
        </w:tc>
        <w:tc>
          <w:tcPr>
            <w:tcW w:w="1274" w:type="dxa"/>
            <w:gridSpan w:val="2"/>
            <w:vAlign w:val="center"/>
          </w:tcPr>
          <w:p>
            <w:pPr>
              <w:jc w:val="center"/>
              <w:rPr>
                <w:color w:val="auto"/>
                <w:szCs w:val="21"/>
                <w:highlight w:val="none"/>
              </w:rPr>
            </w:pPr>
            <w:r>
              <w:rPr>
                <w:color w:val="auto"/>
                <w:szCs w:val="21"/>
                <w:highlight w:val="none"/>
              </w:rPr>
              <w:t>网    址</w:t>
            </w:r>
          </w:p>
        </w:tc>
        <w:tc>
          <w:tcPr>
            <w:tcW w:w="2498" w:type="dxa"/>
            <w:gridSpan w:val="3"/>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组织结构</w:t>
            </w:r>
          </w:p>
        </w:tc>
        <w:tc>
          <w:tcPr>
            <w:tcW w:w="6998" w:type="dxa"/>
            <w:gridSpan w:val="9"/>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法定代表人</w:t>
            </w:r>
          </w:p>
        </w:tc>
        <w:tc>
          <w:tcPr>
            <w:tcW w:w="1080" w:type="dxa"/>
            <w:vAlign w:val="center"/>
          </w:tcPr>
          <w:p>
            <w:pPr>
              <w:jc w:val="center"/>
              <w:rPr>
                <w:color w:val="auto"/>
                <w:szCs w:val="21"/>
                <w:highlight w:val="none"/>
              </w:rPr>
            </w:pPr>
            <w:r>
              <w:rPr>
                <w:color w:val="auto"/>
                <w:szCs w:val="21"/>
                <w:highlight w:val="none"/>
              </w:rPr>
              <w:t>姓  名</w:t>
            </w:r>
          </w:p>
        </w:tc>
        <w:tc>
          <w:tcPr>
            <w:tcW w:w="970" w:type="dxa"/>
            <w:vAlign w:val="center"/>
          </w:tcPr>
          <w:p>
            <w:pPr>
              <w:jc w:val="center"/>
              <w:rPr>
                <w:color w:val="auto"/>
                <w:szCs w:val="21"/>
                <w:highlight w:val="none"/>
              </w:rPr>
            </w:pPr>
          </w:p>
        </w:tc>
        <w:tc>
          <w:tcPr>
            <w:tcW w:w="1370" w:type="dxa"/>
            <w:gridSpan w:val="3"/>
            <w:vAlign w:val="center"/>
          </w:tcPr>
          <w:p>
            <w:pPr>
              <w:jc w:val="center"/>
              <w:rPr>
                <w:color w:val="auto"/>
                <w:szCs w:val="21"/>
                <w:highlight w:val="none"/>
              </w:rPr>
            </w:pPr>
            <w:r>
              <w:rPr>
                <w:color w:val="auto"/>
                <w:szCs w:val="21"/>
                <w:highlight w:val="none"/>
              </w:rPr>
              <w:t>技术职称</w:t>
            </w:r>
          </w:p>
        </w:tc>
        <w:tc>
          <w:tcPr>
            <w:tcW w:w="1149" w:type="dxa"/>
            <w:gridSpan w:val="2"/>
            <w:vAlign w:val="center"/>
          </w:tcPr>
          <w:p>
            <w:pPr>
              <w:jc w:val="center"/>
              <w:rPr>
                <w:color w:val="auto"/>
                <w:szCs w:val="21"/>
                <w:highlight w:val="none"/>
              </w:rPr>
            </w:pPr>
          </w:p>
        </w:tc>
        <w:tc>
          <w:tcPr>
            <w:tcW w:w="1191" w:type="dxa"/>
            <w:vAlign w:val="center"/>
          </w:tcPr>
          <w:p>
            <w:pPr>
              <w:jc w:val="center"/>
              <w:rPr>
                <w:color w:val="auto"/>
                <w:szCs w:val="21"/>
                <w:highlight w:val="none"/>
              </w:rPr>
            </w:pPr>
            <w:r>
              <w:rPr>
                <w:color w:val="auto"/>
                <w:szCs w:val="21"/>
                <w:highlight w:val="none"/>
              </w:rPr>
              <w:t>电话</w:t>
            </w:r>
          </w:p>
        </w:tc>
        <w:tc>
          <w:tcPr>
            <w:tcW w:w="1238"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技术负责人</w:t>
            </w:r>
          </w:p>
        </w:tc>
        <w:tc>
          <w:tcPr>
            <w:tcW w:w="1080" w:type="dxa"/>
            <w:vAlign w:val="center"/>
          </w:tcPr>
          <w:p>
            <w:pPr>
              <w:jc w:val="center"/>
              <w:rPr>
                <w:color w:val="auto"/>
                <w:szCs w:val="21"/>
                <w:highlight w:val="none"/>
              </w:rPr>
            </w:pPr>
            <w:r>
              <w:rPr>
                <w:color w:val="auto"/>
                <w:szCs w:val="21"/>
                <w:highlight w:val="none"/>
              </w:rPr>
              <w:t>姓  名</w:t>
            </w:r>
          </w:p>
        </w:tc>
        <w:tc>
          <w:tcPr>
            <w:tcW w:w="970" w:type="dxa"/>
            <w:vAlign w:val="center"/>
          </w:tcPr>
          <w:p>
            <w:pPr>
              <w:jc w:val="center"/>
              <w:rPr>
                <w:color w:val="auto"/>
                <w:szCs w:val="21"/>
                <w:highlight w:val="none"/>
              </w:rPr>
            </w:pPr>
          </w:p>
        </w:tc>
        <w:tc>
          <w:tcPr>
            <w:tcW w:w="1370" w:type="dxa"/>
            <w:gridSpan w:val="3"/>
            <w:vAlign w:val="center"/>
          </w:tcPr>
          <w:p>
            <w:pPr>
              <w:tabs>
                <w:tab w:val="left" w:pos="2"/>
              </w:tabs>
              <w:jc w:val="center"/>
              <w:rPr>
                <w:color w:val="auto"/>
                <w:szCs w:val="21"/>
                <w:highlight w:val="none"/>
              </w:rPr>
            </w:pPr>
            <w:r>
              <w:rPr>
                <w:color w:val="auto"/>
                <w:szCs w:val="21"/>
                <w:highlight w:val="none"/>
              </w:rPr>
              <w:t>技术职称</w:t>
            </w:r>
          </w:p>
        </w:tc>
        <w:tc>
          <w:tcPr>
            <w:tcW w:w="1149" w:type="dxa"/>
            <w:gridSpan w:val="2"/>
            <w:vAlign w:val="center"/>
          </w:tcPr>
          <w:p>
            <w:pPr>
              <w:jc w:val="center"/>
              <w:rPr>
                <w:color w:val="auto"/>
                <w:szCs w:val="21"/>
                <w:highlight w:val="none"/>
              </w:rPr>
            </w:pPr>
          </w:p>
        </w:tc>
        <w:tc>
          <w:tcPr>
            <w:tcW w:w="1191" w:type="dxa"/>
            <w:vAlign w:val="center"/>
          </w:tcPr>
          <w:p>
            <w:pPr>
              <w:jc w:val="center"/>
              <w:rPr>
                <w:color w:val="auto"/>
                <w:szCs w:val="21"/>
                <w:highlight w:val="none"/>
              </w:rPr>
            </w:pPr>
            <w:r>
              <w:rPr>
                <w:color w:val="auto"/>
                <w:szCs w:val="21"/>
                <w:highlight w:val="none"/>
              </w:rPr>
              <w:t>电话</w:t>
            </w:r>
          </w:p>
        </w:tc>
        <w:tc>
          <w:tcPr>
            <w:tcW w:w="1238" w:type="dxa"/>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成立时间</w:t>
            </w:r>
          </w:p>
        </w:tc>
        <w:tc>
          <w:tcPr>
            <w:tcW w:w="2050" w:type="dxa"/>
            <w:gridSpan w:val="2"/>
            <w:vAlign w:val="center"/>
          </w:tcPr>
          <w:p>
            <w:pPr>
              <w:jc w:val="center"/>
              <w:rPr>
                <w:color w:val="auto"/>
                <w:szCs w:val="21"/>
                <w:highlight w:val="none"/>
              </w:rPr>
            </w:pPr>
          </w:p>
        </w:tc>
        <w:tc>
          <w:tcPr>
            <w:tcW w:w="4948" w:type="dxa"/>
            <w:gridSpan w:val="7"/>
            <w:vAlign w:val="center"/>
          </w:tcPr>
          <w:p>
            <w:pPr>
              <w:jc w:val="center"/>
              <w:rPr>
                <w:color w:val="auto"/>
                <w:szCs w:val="21"/>
                <w:highlight w:val="none"/>
              </w:rPr>
            </w:pPr>
            <w:r>
              <w:rPr>
                <w:color w:val="auto"/>
                <w:szCs w:val="21"/>
                <w:highlight w:val="none"/>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企业资质等级</w:t>
            </w:r>
          </w:p>
        </w:tc>
        <w:tc>
          <w:tcPr>
            <w:tcW w:w="2050" w:type="dxa"/>
            <w:gridSpan w:val="2"/>
            <w:vAlign w:val="center"/>
          </w:tcPr>
          <w:p>
            <w:pPr>
              <w:jc w:val="center"/>
              <w:rPr>
                <w:color w:val="auto"/>
                <w:szCs w:val="21"/>
                <w:highlight w:val="none"/>
              </w:rPr>
            </w:pPr>
          </w:p>
        </w:tc>
        <w:tc>
          <w:tcPr>
            <w:tcW w:w="770" w:type="dxa"/>
            <w:vMerge w:val="restart"/>
            <w:vAlign w:val="center"/>
          </w:tcPr>
          <w:p>
            <w:pPr>
              <w:jc w:val="center"/>
              <w:rPr>
                <w:color w:val="auto"/>
                <w:szCs w:val="21"/>
                <w:highlight w:val="none"/>
              </w:rPr>
            </w:pPr>
            <w:r>
              <w:rPr>
                <w:color w:val="auto"/>
                <w:szCs w:val="21"/>
                <w:highlight w:val="none"/>
              </w:rPr>
              <w:t>其中</w:t>
            </w:r>
          </w:p>
        </w:tc>
        <w:tc>
          <w:tcPr>
            <w:tcW w:w="1749" w:type="dxa"/>
            <w:gridSpan w:val="4"/>
            <w:vAlign w:val="center"/>
          </w:tcPr>
          <w:p>
            <w:pPr>
              <w:jc w:val="center"/>
              <w:rPr>
                <w:color w:val="auto"/>
                <w:szCs w:val="21"/>
                <w:highlight w:val="none"/>
              </w:rPr>
            </w:pPr>
            <w:r>
              <w:rPr>
                <w:rFonts w:hint="eastAsia" w:ascii="宋体" w:hAnsi="宋体"/>
                <w:color w:val="auto"/>
                <w:szCs w:val="21"/>
                <w:highlight w:val="none"/>
              </w:rPr>
              <w:t>注册建造师</w:t>
            </w:r>
          </w:p>
        </w:tc>
        <w:tc>
          <w:tcPr>
            <w:tcW w:w="2429" w:type="dxa"/>
            <w:gridSpan w:val="2"/>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营业执照号</w:t>
            </w:r>
          </w:p>
        </w:tc>
        <w:tc>
          <w:tcPr>
            <w:tcW w:w="2050" w:type="dxa"/>
            <w:gridSpan w:val="2"/>
            <w:vAlign w:val="center"/>
          </w:tcPr>
          <w:p>
            <w:pPr>
              <w:jc w:val="center"/>
              <w:rPr>
                <w:color w:val="auto"/>
                <w:szCs w:val="21"/>
                <w:highlight w:val="none"/>
              </w:rPr>
            </w:pPr>
          </w:p>
        </w:tc>
        <w:tc>
          <w:tcPr>
            <w:tcW w:w="770" w:type="dxa"/>
            <w:vMerge w:val="continue"/>
            <w:vAlign w:val="center"/>
          </w:tcPr>
          <w:p>
            <w:pPr>
              <w:jc w:val="center"/>
              <w:rPr>
                <w:color w:val="auto"/>
                <w:szCs w:val="21"/>
                <w:highlight w:val="none"/>
              </w:rPr>
            </w:pPr>
          </w:p>
        </w:tc>
        <w:tc>
          <w:tcPr>
            <w:tcW w:w="1749" w:type="dxa"/>
            <w:gridSpan w:val="4"/>
            <w:vAlign w:val="center"/>
          </w:tcPr>
          <w:p>
            <w:pPr>
              <w:jc w:val="center"/>
              <w:rPr>
                <w:color w:val="auto"/>
                <w:szCs w:val="21"/>
                <w:highlight w:val="none"/>
              </w:rPr>
            </w:pPr>
            <w:r>
              <w:rPr>
                <w:color w:val="auto"/>
                <w:szCs w:val="21"/>
                <w:highlight w:val="none"/>
              </w:rPr>
              <w:t>高级职称人员</w:t>
            </w:r>
          </w:p>
        </w:tc>
        <w:tc>
          <w:tcPr>
            <w:tcW w:w="2429" w:type="dxa"/>
            <w:gridSpan w:val="2"/>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color w:val="auto"/>
                <w:szCs w:val="21"/>
                <w:highlight w:val="none"/>
              </w:rPr>
            </w:pPr>
            <w:r>
              <w:rPr>
                <w:color w:val="auto"/>
                <w:szCs w:val="21"/>
                <w:highlight w:val="none"/>
              </w:rPr>
              <w:t>注册资金</w:t>
            </w:r>
          </w:p>
        </w:tc>
        <w:tc>
          <w:tcPr>
            <w:tcW w:w="2050" w:type="dxa"/>
            <w:gridSpan w:val="2"/>
            <w:vAlign w:val="center"/>
          </w:tcPr>
          <w:p>
            <w:pPr>
              <w:jc w:val="center"/>
              <w:rPr>
                <w:color w:val="auto"/>
                <w:szCs w:val="21"/>
                <w:highlight w:val="none"/>
              </w:rPr>
            </w:pPr>
          </w:p>
        </w:tc>
        <w:tc>
          <w:tcPr>
            <w:tcW w:w="770" w:type="dxa"/>
            <w:vMerge w:val="continue"/>
            <w:vAlign w:val="center"/>
          </w:tcPr>
          <w:p>
            <w:pPr>
              <w:jc w:val="center"/>
              <w:rPr>
                <w:color w:val="auto"/>
                <w:szCs w:val="21"/>
                <w:highlight w:val="none"/>
              </w:rPr>
            </w:pPr>
          </w:p>
        </w:tc>
        <w:tc>
          <w:tcPr>
            <w:tcW w:w="1749" w:type="dxa"/>
            <w:gridSpan w:val="4"/>
            <w:vAlign w:val="center"/>
          </w:tcPr>
          <w:p>
            <w:pPr>
              <w:jc w:val="center"/>
              <w:rPr>
                <w:color w:val="auto"/>
                <w:szCs w:val="21"/>
                <w:highlight w:val="none"/>
              </w:rPr>
            </w:pPr>
            <w:r>
              <w:rPr>
                <w:color w:val="auto"/>
                <w:szCs w:val="21"/>
                <w:highlight w:val="none"/>
              </w:rPr>
              <w:t>中级职称人员</w:t>
            </w:r>
          </w:p>
        </w:tc>
        <w:tc>
          <w:tcPr>
            <w:tcW w:w="2429" w:type="dxa"/>
            <w:gridSpan w:val="2"/>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rFonts w:ascii="宋体" w:hAnsi="宋体"/>
                <w:color w:val="auto"/>
                <w:szCs w:val="21"/>
                <w:highlight w:val="none"/>
              </w:rPr>
            </w:pPr>
            <w:r>
              <w:rPr>
                <w:rFonts w:hint="eastAsia" w:ascii="宋体" w:hAnsi="宋体"/>
                <w:color w:val="auto"/>
                <w:szCs w:val="21"/>
                <w:highlight w:val="none"/>
              </w:rPr>
              <w:t>基本帐户</w:t>
            </w:r>
          </w:p>
          <w:p>
            <w:pPr>
              <w:jc w:val="center"/>
              <w:rPr>
                <w:color w:val="auto"/>
                <w:szCs w:val="21"/>
                <w:highlight w:val="none"/>
              </w:rPr>
            </w:pPr>
            <w:r>
              <w:rPr>
                <w:rFonts w:hint="eastAsia" w:ascii="宋体" w:hAnsi="宋体"/>
                <w:color w:val="auto"/>
                <w:szCs w:val="21"/>
                <w:highlight w:val="none"/>
              </w:rPr>
              <w:t>开户银行</w:t>
            </w:r>
          </w:p>
        </w:tc>
        <w:tc>
          <w:tcPr>
            <w:tcW w:w="2050" w:type="dxa"/>
            <w:gridSpan w:val="2"/>
            <w:vAlign w:val="center"/>
          </w:tcPr>
          <w:p>
            <w:pPr>
              <w:jc w:val="center"/>
              <w:rPr>
                <w:color w:val="auto"/>
                <w:szCs w:val="21"/>
                <w:highlight w:val="none"/>
              </w:rPr>
            </w:pPr>
          </w:p>
        </w:tc>
        <w:tc>
          <w:tcPr>
            <w:tcW w:w="770" w:type="dxa"/>
            <w:vMerge w:val="continue"/>
            <w:vAlign w:val="center"/>
          </w:tcPr>
          <w:p>
            <w:pPr>
              <w:jc w:val="center"/>
              <w:rPr>
                <w:color w:val="auto"/>
                <w:szCs w:val="21"/>
                <w:highlight w:val="none"/>
              </w:rPr>
            </w:pPr>
          </w:p>
        </w:tc>
        <w:tc>
          <w:tcPr>
            <w:tcW w:w="1749" w:type="dxa"/>
            <w:gridSpan w:val="4"/>
            <w:vAlign w:val="center"/>
          </w:tcPr>
          <w:p>
            <w:pPr>
              <w:jc w:val="center"/>
              <w:rPr>
                <w:color w:val="auto"/>
                <w:szCs w:val="21"/>
                <w:highlight w:val="none"/>
              </w:rPr>
            </w:pPr>
            <w:r>
              <w:rPr>
                <w:color w:val="auto"/>
                <w:szCs w:val="21"/>
                <w:highlight w:val="none"/>
              </w:rPr>
              <w:t>初级职称人员</w:t>
            </w:r>
          </w:p>
        </w:tc>
        <w:tc>
          <w:tcPr>
            <w:tcW w:w="2429" w:type="dxa"/>
            <w:gridSpan w:val="2"/>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2069" w:type="dxa"/>
            <w:vAlign w:val="center"/>
          </w:tcPr>
          <w:p>
            <w:pPr>
              <w:jc w:val="center"/>
              <w:rPr>
                <w:rFonts w:ascii="宋体" w:hAnsi="宋体"/>
                <w:color w:val="auto"/>
                <w:szCs w:val="21"/>
                <w:highlight w:val="none"/>
              </w:rPr>
            </w:pPr>
            <w:r>
              <w:rPr>
                <w:rFonts w:hint="eastAsia" w:ascii="宋体" w:hAnsi="宋体"/>
                <w:color w:val="auto"/>
                <w:szCs w:val="21"/>
                <w:highlight w:val="none"/>
              </w:rPr>
              <w:t>基本帐户</w:t>
            </w:r>
          </w:p>
          <w:p>
            <w:pPr>
              <w:jc w:val="center"/>
              <w:rPr>
                <w:color w:val="auto"/>
                <w:szCs w:val="21"/>
                <w:highlight w:val="none"/>
              </w:rPr>
            </w:pPr>
            <w:r>
              <w:rPr>
                <w:rFonts w:hint="eastAsia" w:ascii="宋体" w:hAnsi="宋体"/>
                <w:color w:val="auto"/>
                <w:szCs w:val="21"/>
                <w:highlight w:val="none"/>
              </w:rPr>
              <w:t>账号</w:t>
            </w:r>
          </w:p>
        </w:tc>
        <w:tc>
          <w:tcPr>
            <w:tcW w:w="2050" w:type="dxa"/>
            <w:gridSpan w:val="2"/>
            <w:vAlign w:val="center"/>
          </w:tcPr>
          <w:p>
            <w:pPr>
              <w:jc w:val="center"/>
              <w:rPr>
                <w:color w:val="auto"/>
                <w:szCs w:val="21"/>
                <w:highlight w:val="none"/>
              </w:rPr>
            </w:pPr>
          </w:p>
        </w:tc>
        <w:tc>
          <w:tcPr>
            <w:tcW w:w="770" w:type="dxa"/>
            <w:vMerge w:val="continue"/>
            <w:vAlign w:val="center"/>
          </w:tcPr>
          <w:p>
            <w:pPr>
              <w:jc w:val="center"/>
              <w:rPr>
                <w:color w:val="auto"/>
                <w:szCs w:val="21"/>
                <w:highlight w:val="none"/>
              </w:rPr>
            </w:pPr>
          </w:p>
        </w:tc>
        <w:tc>
          <w:tcPr>
            <w:tcW w:w="1749" w:type="dxa"/>
            <w:gridSpan w:val="4"/>
            <w:vAlign w:val="center"/>
          </w:tcPr>
          <w:p>
            <w:pPr>
              <w:jc w:val="center"/>
              <w:rPr>
                <w:color w:val="auto"/>
                <w:szCs w:val="21"/>
                <w:highlight w:val="none"/>
              </w:rPr>
            </w:pPr>
            <w:r>
              <w:rPr>
                <w:color w:val="auto"/>
                <w:szCs w:val="21"/>
                <w:highlight w:val="none"/>
              </w:rPr>
              <w:t>技  工</w:t>
            </w:r>
          </w:p>
        </w:tc>
        <w:tc>
          <w:tcPr>
            <w:tcW w:w="2429" w:type="dxa"/>
            <w:gridSpan w:val="2"/>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2" w:hRule="exact"/>
          <w:jc w:val="center"/>
        </w:trPr>
        <w:tc>
          <w:tcPr>
            <w:tcW w:w="2069" w:type="dxa"/>
            <w:vAlign w:val="center"/>
          </w:tcPr>
          <w:p>
            <w:pPr>
              <w:jc w:val="center"/>
              <w:rPr>
                <w:rFonts w:ascii="宋体" w:hAnsi="宋体"/>
                <w:color w:val="auto"/>
                <w:szCs w:val="21"/>
                <w:highlight w:val="none"/>
              </w:rPr>
            </w:pPr>
            <w:r>
              <w:rPr>
                <w:color w:val="auto"/>
                <w:szCs w:val="21"/>
                <w:highlight w:val="none"/>
              </w:rPr>
              <w:t>经营范围</w:t>
            </w:r>
          </w:p>
        </w:tc>
        <w:tc>
          <w:tcPr>
            <w:tcW w:w="6998" w:type="dxa"/>
            <w:gridSpan w:val="9"/>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69" w:type="dxa"/>
            <w:vAlign w:val="center"/>
          </w:tcPr>
          <w:p>
            <w:pPr>
              <w:spacing w:line="360" w:lineRule="auto"/>
              <w:jc w:val="center"/>
              <w:rPr>
                <w:color w:val="auto"/>
                <w:highlight w:val="none"/>
              </w:rPr>
            </w:pPr>
            <w:r>
              <w:rPr>
                <w:color w:val="auto"/>
                <w:highlight w:val="none"/>
              </w:rPr>
              <w:t>关</w:t>
            </w:r>
            <w:r>
              <w:rPr>
                <w:rFonts w:hint="eastAsia"/>
                <w:color w:val="auto"/>
                <w:highlight w:val="none"/>
              </w:rPr>
              <w:t>联单位</w:t>
            </w:r>
          </w:p>
        </w:tc>
        <w:tc>
          <w:tcPr>
            <w:tcW w:w="6998" w:type="dxa"/>
            <w:gridSpan w:val="9"/>
            <w:vAlign w:val="center"/>
          </w:tcPr>
          <w:p>
            <w:pPr>
              <w:spacing w:line="360" w:lineRule="auto"/>
              <w:rPr>
                <w:color w:val="auto"/>
                <w:highlight w:val="none"/>
              </w:rPr>
            </w:pPr>
            <w:r>
              <w:rPr>
                <w:color w:val="auto"/>
                <w:highlight w:val="none"/>
              </w:rPr>
              <w:t>单位负责人</w:t>
            </w:r>
            <w:r>
              <w:rPr>
                <w:rFonts w:hint="eastAsia"/>
                <w:color w:val="auto"/>
                <w:highlight w:val="none"/>
              </w:rPr>
              <w:t>与本</w:t>
            </w:r>
            <w:r>
              <w:rPr>
                <w:color w:val="auto"/>
                <w:highlight w:val="none"/>
              </w:rPr>
              <w:t>单位负责人为同一人</w:t>
            </w:r>
            <w:r>
              <w:rPr>
                <w:rFonts w:hint="eastAsia"/>
                <w:color w:val="auto"/>
                <w:highlight w:val="none"/>
              </w:rPr>
              <w:t>的单位：</w:t>
            </w:r>
          </w:p>
          <w:p>
            <w:pPr>
              <w:spacing w:line="360" w:lineRule="auto"/>
              <w:rPr>
                <w:color w:val="auto"/>
                <w:highlight w:val="none"/>
              </w:rPr>
            </w:pPr>
          </w:p>
          <w:p>
            <w:pPr>
              <w:spacing w:line="360" w:lineRule="auto"/>
              <w:rPr>
                <w:color w:val="auto"/>
                <w:highlight w:val="none"/>
              </w:rPr>
            </w:pPr>
            <w:r>
              <w:rPr>
                <w:rFonts w:hint="eastAsia"/>
                <w:color w:val="auto"/>
                <w:highlight w:val="none"/>
              </w:rPr>
              <w:t>与本</w:t>
            </w:r>
            <w:r>
              <w:rPr>
                <w:color w:val="auto"/>
                <w:highlight w:val="none"/>
              </w:rPr>
              <w:t>单位存在控股</w:t>
            </w:r>
            <w:r>
              <w:rPr>
                <w:rFonts w:hint="eastAsia"/>
                <w:color w:val="auto"/>
                <w:highlight w:val="none"/>
              </w:rPr>
              <w:t>与被控股</w:t>
            </w:r>
            <w:r>
              <w:rPr>
                <w:color w:val="auto"/>
                <w:highlight w:val="none"/>
              </w:rPr>
              <w:t>关系的单位</w:t>
            </w:r>
            <w:r>
              <w:rPr>
                <w:rFonts w:hint="eastAsia"/>
                <w:color w:val="auto"/>
                <w:highlight w:val="none"/>
              </w:rPr>
              <w:t>：</w:t>
            </w:r>
          </w:p>
          <w:p>
            <w:pPr>
              <w:spacing w:line="360" w:lineRule="auto"/>
              <w:rPr>
                <w:color w:val="auto"/>
                <w:highlight w:val="none"/>
              </w:rPr>
            </w:pPr>
          </w:p>
          <w:p>
            <w:pPr>
              <w:spacing w:line="360" w:lineRule="auto"/>
              <w:rPr>
                <w:color w:val="auto"/>
                <w:highlight w:val="none"/>
              </w:rPr>
            </w:pPr>
            <w:r>
              <w:rPr>
                <w:rFonts w:hint="eastAsia"/>
                <w:color w:val="auto"/>
                <w:highlight w:val="none"/>
              </w:rPr>
              <w:t>与本</w:t>
            </w:r>
            <w:r>
              <w:rPr>
                <w:color w:val="auto"/>
                <w:highlight w:val="none"/>
              </w:rPr>
              <w:t>单位存在管理</w:t>
            </w:r>
            <w:r>
              <w:rPr>
                <w:rFonts w:hint="eastAsia"/>
                <w:color w:val="auto"/>
                <w:highlight w:val="none"/>
              </w:rPr>
              <w:t>与被管理</w:t>
            </w:r>
            <w:r>
              <w:rPr>
                <w:color w:val="auto"/>
                <w:highlight w:val="none"/>
              </w:rPr>
              <w:t>关系的单位</w:t>
            </w:r>
            <w:r>
              <w:rPr>
                <w:rFonts w:hint="eastAsia"/>
                <w:color w:val="auto"/>
                <w:highlight w:val="none"/>
              </w:rPr>
              <w:t>：</w:t>
            </w:r>
          </w:p>
          <w:p>
            <w:pPr>
              <w:spacing w:line="360" w:lineRule="auto"/>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exact"/>
          <w:jc w:val="center"/>
        </w:trPr>
        <w:tc>
          <w:tcPr>
            <w:tcW w:w="2069" w:type="dxa"/>
            <w:vAlign w:val="center"/>
          </w:tcPr>
          <w:p>
            <w:pPr>
              <w:jc w:val="center"/>
              <w:rPr>
                <w:color w:val="auto"/>
                <w:szCs w:val="21"/>
                <w:highlight w:val="none"/>
              </w:rPr>
            </w:pPr>
            <w:r>
              <w:rPr>
                <w:color w:val="auto"/>
                <w:szCs w:val="21"/>
                <w:highlight w:val="none"/>
              </w:rPr>
              <w:t>备  注</w:t>
            </w:r>
          </w:p>
        </w:tc>
        <w:tc>
          <w:tcPr>
            <w:tcW w:w="6998" w:type="dxa"/>
            <w:gridSpan w:val="9"/>
            <w:vAlign w:val="center"/>
          </w:tcPr>
          <w:p>
            <w:pPr>
              <w:jc w:val="center"/>
              <w:rPr>
                <w:color w:val="auto"/>
                <w:szCs w:val="21"/>
                <w:highlight w:val="none"/>
              </w:rPr>
            </w:pPr>
          </w:p>
        </w:tc>
      </w:tr>
    </w:tbl>
    <w:p>
      <w:pPr>
        <w:spacing w:line="360" w:lineRule="exact"/>
        <w:ind w:left="945" w:hanging="945" w:hangingChars="450"/>
        <w:rPr>
          <w:rFonts w:ascii="宋体" w:hAnsi="宋体"/>
          <w:color w:val="auto"/>
          <w:szCs w:val="21"/>
          <w:highlight w:val="none"/>
        </w:rPr>
      </w:pPr>
      <w:r>
        <w:rPr>
          <w:rFonts w:hint="eastAsia" w:ascii="宋体" w:hAnsi="宋体"/>
          <w:color w:val="auto"/>
          <w:szCs w:val="21"/>
          <w:highlight w:val="none"/>
        </w:rPr>
        <w:t>备注：</w:t>
      </w:r>
      <w:r>
        <w:rPr>
          <w:rFonts w:hint="eastAsia"/>
          <w:color w:val="auto"/>
          <w:szCs w:val="21"/>
          <w:highlight w:val="none"/>
        </w:rPr>
        <w:t>1</w:t>
      </w:r>
      <w:r>
        <w:rPr>
          <w:rFonts w:hint="eastAsia" w:ascii="宋体" w:hAnsi="宋体"/>
          <w:color w:val="auto"/>
          <w:szCs w:val="21"/>
          <w:highlight w:val="none"/>
        </w:rPr>
        <w:t>.本表后应附企业法人营业执照、企业资质证书、安全生产许可证、</w:t>
      </w:r>
      <w:r>
        <w:rPr>
          <w:rFonts w:ascii="宋体" w:hAnsi="宋体"/>
          <w:color w:val="auto"/>
          <w:szCs w:val="21"/>
          <w:highlight w:val="none"/>
        </w:rPr>
        <w:t>质量</w:t>
      </w:r>
      <w:r>
        <w:rPr>
          <w:rFonts w:hint="eastAsia" w:ascii="宋体" w:hAnsi="宋体"/>
          <w:color w:val="auto"/>
          <w:szCs w:val="21"/>
          <w:highlight w:val="none"/>
        </w:rPr>
        <w:t>、</w:t>
      </w:r>
      <w:r>
        <w:rPr>
          <w:rFonts w:ascii="宋体" w:hAnsi="宋体"/>
          <w:color w:val="auto"/>
          <w:szCs w:val="21"/>
          <w:highlight w:val="none"/>
        </w:rPr>
        <w:t>环境</w:t>
      </w:r>
      <w:r>
        <w:rPr>
          <w:rFonts w:hint="eastAsia" w:ascii="宋体" w:hAnsi="宋体"/>
          <w:color w:val="auto"/>
          <w:szCs w:val="21"/>
          <w:highlight w:val="none"/>
        </w:rPr>
        <w:t>、职业健康安全管理体系认证证书（如有）等材料的扫描件。</w:t>
      </w:r>
    </w:p>
    <w:p>
      <w:pPr>
        <w:spacing w:line="360" w:lineRule="exact"/>
        <w:ind w:left="945" w:leftChars="300" w:hanging="315" w:hangingChars="150"/>
        <w:rPr>
          <w:color w:val="auto"/>
          <w:szCs w:val="21"/>
          <w:highlight w:val="none"/>
        </w:rPr>
      </w:pPr>
      <w:bookmarkStart w:id="3117" w:name="_Toc81213595"/>
      <w:bookmarkStart w:id="3118" w:name="_Toc81193305"/>
      <w:r>
        <w:rPr>
          <w:rFonts w:hint="eastAsia"/>
          <w:color w:val="auto"/>
          <w:szCs w:val="21"/>
          <w:highlight w:val="none"/>
        </w:rPr>
        <w:t>2.投标人应当如实披露相关关联单位的情况，没有相关关联单位的明确填“无”。</w:t>
      </w:r>
      <w:bookmarkEnd w:id="3117"/>
      <w:bookmarkEnd w:id="3118"/>
    </w:p>
    <w:p>
      <w:pPr>
        <w:spacing w:line="360" w:lineRule="exact"/>
        <w:ind w:left="945" w:leftChars="300" w:hanging="315" w:hangingChars="150"/>
        <w:rPr>
          <w:color w:val="auto"/>
          <w:szCs w:val="21"/>
          <w:highlight w:val="none"/>
        </w:rPr>
      </w:pPr>
      <w:r>
        <w:rPr>
          <w:rFonts w:hint="eastAsia"/>
          <w:color w:val="auto"/>
          <w:szCs w:val="21"/>
          <w:highlight w:val="none"/>
        </w:rPr>
        <w:t>3.以联合体形式投标的，联合体各成员应分别填写。</w:t>
      </w:r>
    </w:p>
    <w:p>
      <w:pPr>
        <w:spacing w:line="360" w:lineRule="auto"/>
        <w:rPr>
          <w:color w:val="auto"/>
          <w:highlight w:val="none"/>
        </w:rPr>
      </w:pPr>
    </w:p>
    <w:p>
      <w:pPr>
        <w:rPr>
          <w:color w:val="auto"/>
          <w:sz w:val="24"/>
          <w:highlight w:val="none"/>
        </w:rPr>
      </w:pPr>
    </w:p>
    <w:p>
      <w:pPr>
        <w:pStyle w:val="8"/>
        <w:jc w:val="center"/>
        <w:rPr>
          <w:b/>
          <w:bCs/>
          <w:color w:val="auto"/>
          <w:sz w:val="24"/>
          <w:highlight w:val="none"/>
        </w:rPr>
      </w:pPr>
      <w:bookmarkStart w:id="3119" w:name="_Toc28532435"/>
      <w:r>
        <w:rPr>
          <w:rFonts w:hint="eastAsia"/>
          <w:b/>
          <w:bCs/>
          <w:color w:val="auto"/>
          <w:sz w:val="24"/>
          <w:highlight w:val="none"/>
        </w:rPr>
        <w:t>1-2项目管理机构主要人员及简历表</w:t>
      </w:r>
      <w:bookmarkEnd w:id="3119"/>
    </w:p>
    <w:p>
      <w:pPr>
        <w:spacing w:line="400" w:lineRule="atLeast"/>
        <w:ind w:firstLine="630" w:firstLineChars="300"/>
        <w:rPr>
          <w:color w:val="auto"/>
          <w:szCs w:val="21"/>
          <w:highlight w:val="none"/>
        </w:rPr>
      </w:pPr>
    </w:p>
    <w:p>
      <w:pPr>
        <w:spacing w:line="400" w:lineRule="atLeast"/>
        <w:ind w:firstLine="630" w:firstLineChars="300"/>
        <w:rPr>
          <w:rFonts w:ascii="宋体" w:hAnsi="宋体"/>
          <w:color w:val="auto"/>
          <w:szCs w:val="21"/>
          <w:highlight w:val="none"/>
        </w:rPr>
      </w:pPr>
      <w:r>
        <w:rPr>
          <w:rFonts w:hint="eastAsia" w:ascii="黑体" w:hAnsi="宋体" w:eastAsia="黑体"/>
          <w:color w:val="auto"/>
          <w:szCs w:val="21"/>
          <w:highlight w:val="none"/>
        </w:rPr>
        <w:t>说明：</w:t>
      </w:r>
      <w:r>
        <w:rPr>
          <w:rFonts w:hint="eastAsia" w:ascii="宋体" w:hAnsi="宋体"/>
          <w:color w:val="auto"/>
          <w:szCs w:val="21"/>
          <w:highlight w:val="none"/>
        </w:rPr>
        <w:t>“项目管理机构主要人员及简历表”同本章第</w:t>
      </w:r>
      <w:r>
        <w:rPr>
          <w:rFonts w:hint="eastAsia" w:ascii="宋体" w:hAnsi="宋体"/>
          <w:color w:val="auto"/>
          <w:szCs w:val="21"/>
          <w:highlight w:val="none"/>
          <w:lang w:val="en-US" w:eastAsia="zh-CN"/>
        </w:rPr>
        <w:t>八</w:t>
      </w:r>
      <w:r>
        <w:rPr>
          <w:rFonts w:hint="eastAsia" w:ascii="宋体" w:hAnsi="宋体"/>
          <w:color w:val="auto"/>
          <w:szCs w:val="21"/>
          <w:highlight w:val="none"/>
        </w:rPr>
        <w:t>节。</w:t>
      </w:r>
    </w:p>
    <w:p>
      <w:pPr>
        <w:spacing w:line="400" w:lineRule="atLeast"/>
        <w:ind w:firstLine="630" w:firstLineChars="300"/>
        <w:rPr>
          <w:color w:val="auto"/>
          <w:szCs w:val="21"/>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spacing w:line="360" w:lineRule="auto"/>
        <w:rPr>
          <w:rFonts w:ascii="宋体" w:hAnsi="宋体" w:cs="宋体"/>
          <w:color w:val="auto"/>
          <w:highlight w:val="none"/>
        </w:rPr>
      </w:pPr>
    </w:p>
    <w:p>
      <w:pPr>
        <w:pStyle w:val="30"/>
        <w:outlineLvl w:val="9"/>
        <w:rPr>
          <w:rFonts w:ascii="宋体" w:hAnsi="宋体" w:cs="宋体"/>
          <w:color w:val="auto"/>
          <w:highlight w:val="none"/>
        </w:rPr>
      </w:pPr>
    </w:p>
    <w:p>
      <w:pPr>
        <w:outlineLvl w:val="9"/>
        <w:rPr>
          <w:rFonts w:ascii="宋体" w:hAnsi="宋体" w:cs="宋体"/>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pStyle w:val="32"/>
        <w:jc w:val="left"/>
        <w:outlineLvl w:val="3"/>
        <w:rPr>
          <w:b w:val="0"/>
          <w:bCs w:val="0"/>
          <w:color w:val="auto"/>
          <w:sz w:val="24"/>
          <w:szCs w:val="24"/>
          <w:highlight w:val="none"/>
        </w:rPr>
      </w:pPr>
      <w:bookmarkStart w:id="3120" w:name="_Toc414102012"/>
      <w:bookmarkStart w:id="3121" w:name="_Toc429598786"/>
      <w:bookmarkStart w:id="3122" w:name="_Toc30554"/>
      <w:bookmarkStart w:id="3123" w:name="_Toc31092"/>
      <w:bookmarkStart w:id="3124" w:name="_Toc3593"/>
      <w:bookmarkStart w:id="3125" w:name="_Toc9830"/>
      <w:bookmarkStart w:id="3126" w:name="_Toc109149972"/>
      <w:bookmarkStart w:id="3127" w:name="_Toc1214107036"/>
      <w:bookmarkStart w:id="3128" w:name="_Toc2221"/>
      <w:bookmarkStart w:id="3129" w:name="_Toc426496260"/>
      <w:bookmarkStart w:id="3130" w:name="_Toc7117"/>
      <w:bookmarkStart w:id="3131" w:name="_Toc325129590"/>
      <w:bookmarkStart w:id="3132" w:name="_Toc279401984"/>
      <w:bookmarkStart w:id="3133" w:name="_Toc288066328"/>
      <w:bookmarkStart w:id="3134" w:name="_Toc323220056"/>
      <w:r>
        <w:rPr>
          <w:rFonts w:hint="eastAsia"/>
          <w:color w:val="auto"/>
          <w:sz w:val="24"/>
          <w:szCs w:val="24"/>
          <w:highlight w:val="none"/>
        </w:rPr>
        <w:t>（二）近3年财务状况</w:t>
      </w:r>
      <w:bookmarkEnd w:id="3120"/>
      <w:bookmarkEnd w:id="3121"/>
      <w:bookmarkEnd w:id="3122"/>
      <w:bookmarkEnd w:id="3123"/>
      <w:bookmarkEnd w:id="3124"/>
      <w:bookmarkEnd w:id="3125"/>
      <w:bookmarkEnd w:id="3126"/>
      <w:bookmarkEnd w:id="3127"/>
      <w:bookmarkEnd w:id="3128"/>
      <w:bookmarkEnd w:id="3129"/>
      <w:bookmarkEnd w:id="3130"/>
    </w:p>
    <w:p>
      <w:pPr>
        <w:pStyle w:val="8"/>
        <w:jc w:val="center"/>
        <w:rPr>
          <w:b/>
          <w:bCs/>
          <w:color w:val="auto"/>
          <w:sz w:val="24"/>
          <w:highlight w:val="none"/>
        </w:rPr>
      </w:pPr>
      <w:bookmarkStart w:id="3135" w:name="_Toc27720"/>
      <w:bookmarkStart w:id="3136" w:name="_Toc20493"/>
      <w:bookmarkStart w:id="3137" w:name="_Toc429598787"/>
      <w:bookmarkStart w:id="3138" w:name="_Toc4065"/>
      <w:bookmarkStart w:id="3139" w:name="_Toc6030"/>
      <w:bookmarkStart w:id="3140" w:name="_Toc1710586063"/>
      <w:bookmarkStart w:id="3141" w:name="_Toc426496261"/>
      <w:bookmarkStart w:id="3142" w:name="_Toc12027"/>
      <w:r>
        <w:rPr>
          <w:rFonts w:hint="eastAsia"/>
          <w:b/>
          <w:bCs/>
          <w:color w:val="auto"/>
          <w:sz w:val="24"/>
          <w:highlight w:val="none"/>
        </w:rPr>
        <w:t>2-1近3年财务状况表</w:t>
      </w:r>
      <w:bookmarkEnd w:id="3135"/>
      <w:bookmarkEnd w:id="3136"/>
      <w:bookmarkEnd w:id="3137"/>
      <w:bookmarkEnd w:id="3138"/>
      <w:bookmarkEnd w:id="3139"/>
      <w:bookmarkEnd w:id="3140"/>
      <w:bookmarkEnd w:id="3141"/>
      <w:bookmarkEnd w:id="3142"/>
    </w:p>
    <w:tbl>
      <w:tblPr>
        <w:tblStyle w:val="28"/>
        <w:tblW w:w="900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32"/>
        <w:gridCol w:w="815"/>
        <w:gridCol w:w="1539"/>
        <w:gridCol w:w="1539"/>
        <w:gridCol w:w="1539"/>
        <w:gridCol w:w="15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jc w:val="center"/>
              <w:rPr>
                <w:rFonts w:ascii="宋体" w:hAnsi="宋体"/>
                <w:color w:val="auto"/>
                <w:szCs w:val="21"/>
                <w:highlight w:val="none"/>
              </w:rPr>
            </w:pPr>
            <w:r>
              <w:rPr>
                <w:rFonts w:hint="eastAsia" w:ascii="宋体" w:hAnsi="宋体"/>
                <w:color w:val="auto"/>
                <w:szCs w:val="21"/>
                <w:highlight w:val="none"/>
              </w:rPr>
              <w:t>名称</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单位</w:t>
            </w: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　</w:t>
            </w:r>
            <w:r>
              <w:rPr>
                <w:rFonts w:hint="eastAsia" w:ascii="宋体" w:hAnsi="宋体"/>
                <w:color w:val="auto"/>
                <w:szCs w:val="21"/>
                <w:highlight w:val="none"/>
                <w:u w:val="single"/>
              </w:rPr>
              <w:t>　　　</w:t>
            </w:r>
            <w:r>
              <w:rPr>
                <w:rFonts w:hint="eastAsia" w:ascii="宋体" w:hAnsi="宋体"/>
                <w:color w:val="auto"/>
                <w:szCs w:val="21"/>
                <w:highlight w:val="none"/>
              </w:rPr>
              <w:t>年</w:t>
            </w: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　</w:t>
            </w:r>
            <w:r>
              <w:rPr>
                <w:rFonts w:hint="eastAsia" w:ascii="宋体" w:hAnsi="宋体"/>
                <w:color w:val="auto"/>
                <w:szCs w:val="21"/>
                <w:highlight w:val="none"/>
                <w:u w:val="single"/>
              </w:rPr>
              <w:t>　　　</w:t>
            </w:r>
            <w:r>
              <w:rPr>
                <w:rFonts w:hint="eastAsia" w:ascii="宋体" w:hAnsi="宋体"/>
                <w:color w:val="auto"/>
                <w:szCs w:val="21"/>
                <w:highlight w:val="none"/>
              </w:rPr>
              <w:t>年</w:t>
            </w: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u w:val="single"/>
              </w:rPr>
              <w:t>　　　</w:t>
            </w:r>
            <w:r>
              <w:rPr>
                <w:rFonts w:hint="eastAsia" w:ascii="宋体" w:hAnsi="宋体"/>
                <w:color w:val="auto"/>
                <w:szCs w:val="21"/>
                <w:highlight w:val="none"/>
              </w:rPr>
              <w:t>年</w:t>
            </w: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近</w:t>
            </w:r>
            <w:r>
              <w:rPr>
                <w:rFonts w:hint="eastAsia"/>
                <w:color w:val="auto"/>
                <w:szCs w:val="21"/>
                <w:highlight w:val="none"/>
              </w:rPr>
              <w:t>3</w:t>
            </w:r>
            <w:r>
              <w:rPr>
                <w:rFonts w:hint="eastAsia" w:ascii="宋体" w:hAnsi="宋体"/>
                <w:color w:val="auto"/>
                <w:szCs w:val="21"/>
                <w:highlight w:val="none"/>
              </w:rPr>
              <w:t>年平均值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一．注册资金</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二．净资产</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三．总资产</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四．固定资产</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五．流动资产</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六．流动负债</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七．负债合计</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八．营业收入</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九．净利润</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十．现金流量净额</w:t>
            </w:r>
          </w:p>
        </w:tc>
        <w:tc>
          <w:tcPr>
            <w:tcW w:w="815" w:type="dxa"/>
            <w:vAlign w:val="center"/>
          </w:tcPr>
          <w:p>
            <w:pPr>
              <w:jc w:val="center"/>
              <w:rPr>
                <w:rFonts w:ascii="宋体" w:hAnsi="宋体"/>
                <w:color w:val="auto"/>
                <w:szCs w:val="21"/>
                <w:highlight w:val="none"/>
              </w:rPr>
            </w:pPr>
            <w:r>
              <w:rPr>
                <w:rFonts w:hint="eastAsia" w:ascii="宋体" w:hAnsi="宋体"/>
                <w:color w:val="auto"/>
                <w:szCs w:val="21"/>
                <w:highlight w:val="none"/>
              </w:rPr>
              <w:t>万元</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ascii="宋体" w:hAnsi="宋体"/>
                <w:color w:val="auto"/>
                <w:szCs w:val="21"/>
                <w:highlight w:val="none"/>
              </w:rPr>
              <w:t>十一．主要财务指标</w:t>
            </w:r>
          </w:p>
        </w:tc>
        <w:tc>
          <w:tcPr>
            <w:tcW w:w="815"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color w:val="auto"/>
                <w:szCs w:val="21"/>
                <w:highlight w:val="none"/>
              </w:rPr>
              <w:t>1</w:t>
            </w:r>
            <w:r>
              <w:rPr>
                <w:rFonts w:hint="eastAsia" w:ascii="宋体" w:hAnsi="宋体"/>
                <w:color w:val="auto"/>
                <w:szCs w:val="21"/>
                <w:highlight w:val="none"/>
              </w:rPr>
              <w:t>．净资产收益率</w:t>
            </w:r>
          </w:p>
        </w:tc>
        <w:tc>
          <w:tcPr>
            <w:tcW w:w="815" w:type="dxa"/>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color w:val="auto"/>
                <w:szCs w:val="21"/>
                <w:highlight w:val="none"/>
              </w:rPr>
              <w:t>2</w:t>
            </w:r>
            <w:r>
              <w:rPr>
                <w:rFonts w:hint="eastAsia" w:ascii="宋体" w:hAnsi="宋体"/>
                <w:color w:val="auto"/>
                <w:szCs w:val="21"/>
                <w:highlight w:val="none"/>
              </w:rPr>
              <w:t>．总资产报酬率</w:t>
            </w:r>
          </w:p>
        </w:tc>
        <w:tc>
          <w:tcPr>
            <w:tcW w:w="815" w:type="dxa"/>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color w:val="auto"/>
                <w:szCs w:val="21"/>
                <w:highlight w:val="none"/>
              </w:rPr>
              <w:t>3</w:t>
            </w:r>
            <w:r>
              <w:rPr>
                <w:rFonts w:hint="eastAsia" w:ascii="宋体" w:hAnsi="宋体"/>
                <w:color w:val="auto"/>
                <w:szCs w:val="21"/>
                <w:highlight w:val="none"/>
              </w:rPr>
              <w:t>．主营业务利润率</w:t>
            </w:r>
          </w:p>
        </w:tc>
        <w:tc>
          <w:tcPr>
            <w:tcW w:w="815" w:type="dxa"/>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r>
              <w:rPr>
                <w:rFonts w:hint="eastAsia" w:ascii="宋体" w:hAnsi="宋体"/>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color w:val="auto"/>
                <w:szCs w:val="21"/>
                <w:highlight w:val="none"/>
              </w:rPr>
              <w:t>4</w:t>
            </w:r>
            <w:r>
              <w:rPr>
                <w:rFonts w:hint="eastAsia" w:ascii="宋体" w:hAnsi="宋体"/>
                <w:color w:val="auto"/>
                <w:szCs w:val="21"/>
                <w:highlight w:val="none"/>
              </w:rPr>
              <w:t>．资产负债率</w:t>
            </w:r>
          </w:p>
        </w:tc>
        <w:tc>
          <w:tcPr>
            <w:tcW w:w="815" w:type="dxa"/>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color w:val="auto"/>
                <w:szCs w:val="21"/>
                <w:highlight w:val="none"/>
              </w:rPr>
              <w:t>5</w:t>
            </w:r>
            <w:r>
              <w:rPr>
                <w:rFonts w:hint="eastAsia" w:ascii="宋体" w:hAnsi="宋体"/>
                <w:color w:val="auto"/>
                <w:szCs w:val="21"/>
                <w:highlight w:val="none"/>
              </w:rPr>
              <w:t>．流动比率</w:t>
            </w:r>
          </w:p>
        </w:tc>
        <w:tc>
          <w:tcPr>
            <w:tcW w:w="815" w:type="dxa"/>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trPr>
        <w:tc>
          <w:tcPr>
            <w:tcW w:w="2032" w:type="dxa"/>
            <w:vAlign w:val="center"/>
          </w:tcPr>
          <w:p>
            <w:pPr>
              <w:rPr>
                <w:rFonts w:ascii="宋体" w:hAnsi="宋体"/>
                <w:color w:val="auto"/>
                <w:szCs w:val="21"/>
                <w:highlight w:val="none"/>
              </w:rPr>
            </w:pPr>
            <w:r>
              <w:rPr>
                <w:rFonts w:hint="eastAsia"/>
                <w:color w:val="auto"/>
                <w:szCs w:val="21"/>
                <w:highlight w:val="none"/>
              </w:rPr>
              <w:t>6</w:t>
            </w:r>
            <w:r>
              <w:rPr>
                <w:rFonts w:hint="eastAsia" w:ascii="宋体" w:hAnsi="宋体"/>
                <w:color w:val="auto"/>
                <w:szCs w:val="21"/>
                <w:highlight w:val="none"/>
              </w:rPr>
              <w:t>．速动比率</w:t>
            </w:r>
          </w:p>
        </w:tc>
        <w:tc>
          <w:tcPr>
            <w:tcW w:w="815" w:type="dxa"/>
          </w:tcPr>
          <w:p>
            <w:pPr>
              <w:widowControl/>
              <w:autoSpaceDE w:val="0"/>
              <w:autoSpaceDN w:val="0"/>
              <w:spacing w:line="400" w:lineRule="atLeast"/>
              <w:ind w:firstLine="13"/>
              <w:jc w:val="center"/>
              <w:textAlignment w:val="bottom"/>
              <w:rPr>
                <w:color w:val="auto"/>
                <w:szCs w:val="21"/>
                <w:highlight w:val="none"/>
              </w:rPr>
            </w:pPr>
            <w:r>
              <w:rPr>
                <w:color w:val="auto"/>
                <w:szCs w:val="21"/>
                <w:highlight w:val="none"/>
              </w:rPr>
              <w:t>%</w:t>
            </w: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c>
          <w:tcPr>
            <w:tcW w:w="1539" w:type="dxa"/>
            <w:vAlign w:val="center"/>
          </w:tcPr>
          <w:p>
            <w:pPr>
              <w:jc w:val="center"/>
              <w:rPr>
                <w:rFonts w:ascii="宋体" w:hAnsi="宋体"/>
                <w:color w:val="auto"/>
                <w:szCs w:val="21"/>
                <w:highlight w:val="none"/>
              </w:rPr>
            </w:pPr>
          </w:p>
        </w:tc>
      </w:tr>
    </w:tbl>
    <w:p>
      <w:pPr>
        <w:autoSpaceDE w:val="0"/>
        <w:autoSpaceDN w:val="0"/>
        <w:adjustRightInd w:val="0"/>
        <w:snapToGrid w:val="0"/>
        <w:spacing w:line="360" w:lineRule="exact"/>
        <w:ind w:left="840" w:hanging="840" w:hangingChars="400"/>
        <w:rPr>
          <w:rFonts w:ascii="宋体" w:hAnsi="宋体" w:cs="宋体"/>
          <w:color w:val="auto"/>
          <w:kern w:val="0"/>
          <w:szCs w:val="21"/>
          <w:highlight w:val="none"/>
        </w:rPr>
      </w:pPr>
      <w:r>
        <w:rPr>
          <w:rFonts w:hint="eastAsia" w:ascii="宋体" w:hAnsi="宋体"/>
          <w:color w:val="auto"/>
          <w:szCs w:val="21"/>
          <w:highlight w:val="none"/>
        </w:rPr>
        <w:t>备注：</w:t>
      </w:r>
      <w:r>
        <w:rPr>
          <w:rFonts w:ascii="宋体" w:hAnsi="宋体"/>
          <w:color w:val="auto"/>
          <w:szCs w:val="21"/>
          <w:highlight w:val="none"/>
        </w:rPr>
        <w:t>1</w:t>
      </w:r>
      <w:r>
        <w:rPr>
          <w:rFonts w:hint="eastAsia" w:ascii="宋体" w:hAnsi="宋体"/>
          <w:color w:val="auto"/>
          <w:szCs w:val="21"/>
          <w:highlight w:val="none"/>
        </w:rPr>
        <w:t>.</w:t>
      </w:r>
      <w:r>
        <w:rPr>
          <w:rFonts w:hint="eastAsia" w:ascii="宋体" w:hAnsi="宋体" w:cs="宋体"/>
          <w:color w:val="auto"/>
          <w:kern w:val="0"/>
          <w:szCs w:val="21"/>
          <w:highlight w:val="none"/>
        </w:rPr>
        <w:t>本表后应附近3年经会计师事务所或审计机构审计的财务会计报表，包括资产负债表、现金流量表、利润表和财务情况说明书的</w:t>
      </w:r>
      <w:r>
        <w:rPr>
          <w:rFonts w:hint="eastAsia" w:ascii="宋体" w:hAnsi="宋体"/>
          <w:color w:val="auto"/>
          <w:szCs w:val="21"/>
          <w:highlight w:val="none"/>
        </w:rPr>
        <w:t>扫描件</w:t>
      </w:r>
      <w:r>
        <w:rPr>
          <w:rFonts w:hint="eastAsia" w:ascii="宋体" w:hAnsi="宋体" w:cs="宋体"/>
          <w:color w:val="auto"/>
          <w:kern w:val="0"/>
          <w:szCs w:val="21"/>
          <w:highlight w:val="none"/>
        </w:rPr>
        <w:t>。投标人的成立时间少于3年的，应提供成立以来的财务状况表。</w:t>
      </w:r>
    </w:p>
    <w:p>
      <w:pPr>
        <w:spacing w:line="360" w:lineRule="exact"/>
        <w:ind w:left="840" w:leftChars="400"/>
        <w:rPr>
          <w:rFonts w:ascii="宋体" w:hAnsi="宋体"/>
          <w:color w:val="auto"/>
          <w:szCs w:val="21"/>
          <w:highlight w:val="none"/>
        </w:rPr>
      </w:pPr>
      <w:r>
        <w:rPr>
          <w:rFonts w:hint="eastAsia" w:ascii="宋体" w:hAnsi="宋体"/>
          <w:color w:val="auto"/>
          <w:szCs w:val="21"/>
          <w:highlight w:val="none"/>
        </w:rPr>
        <w:t>投标截止日如在6月30日以前，则近3年是指上上个年度往前推算的3年，例如投标截止日为2022年5月30日，近3年是指2018年度、2019年度、2020年度。</w:t>
      </w:r>
    </w:p>
    <w:p>
      <w:pPr>
        <w:autoSpaceDE w:val="0"/>
        <w:autoSpaceDN w:val="0"/>
        <w:adjustRightInd w:val="0"/>
        <w:snapToGrid w:val="0"/>
        <w:spacing w:line="360" w:lineRule="exact"/>
        <w:ind w:left="840" w:leftChars="400"/>
        <w:rPr>
          <w:rFonts w:ascii="宋体" w:hAnsi="宋体" w:cs="宋体"/>
          <w:color w:val="auto"/>
          <w:kern w:val="0"/>
          <w:szCs w:val="21"/>
          <w:highlight w:val="none"/>
        </w:rPr>
      </w:pPr>
      <w:r>
        <w:rPr>
          <w:rFonts w:hint="eastAsia" w:ascii="宋体" w:hAnsi="宋体"/>
          <w:color w:val="auto"/>
          <w:szCs w:val="21"/>
          <w:highlight w:val="none"/>
        </w:rPr>
        <w:t>投标截止日如在6月30日以后，则近3年是指上个年度往前推算的3年，例如投标截止日为2022年7月1日，近3年是指2019年度、2020年度、2021年度。</w:t>
      </w:r>
    </w:p>
    <w:p>
      <w:pPr>
        <w:autoSpaceDE w:val="0"/>
        <w:autoSpaceDN w:val="0"/>
        <w:adjustRightInd w:val="0"/>
        <w:snapToGrid w:val="0"/>
        <w:spacing w:line="360" w:lineRule="exact"/>
        <w:ind w:left="840" w:leftChars="300" w:hanging="210" w:hangingChars="100"/>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olor w:val="auto"/>
          <w:szCs w:val="21"/>
          <w:highlight w:val="none"/>
        </w:rPr>
        <w:t>.</w:t>
      </w:r>
      <w:r>
        <w:rPr>
          <w:rFonts w:hint="eastAsia" w:ascii="宋体" w:hAnsi="宋体" w:cs="宋体"/>
          <w:color w:val="auto"/>
          <w:kern w:val="0"/>
          <w:szCs w:val="21"/>
          <w:highlight w:val="none"/>
        </w:rPr>
        <w:t>本表所列数据必须与本表各附件中的数据相一致。</w:t>
      </w:r>
      <w:r>
        <w:rPr>
          <w:rFonts w:hint="eastAsia" w:ascii="宋体" w:hAnsi="宋体"/>
          <w:color w:val="auto"/>
          <w:szCs w:val="21"/>
          <w:highlight w:val="none"/>
        </w:rPr>
        <w:t>如果有不一致之处，以不利于投标人的数据为准。</w:t>
      </w:r>
    </w:p>
    <w:p>
      <w:pPr>
        <w:autoSpaceDE w:val="0"/>
        <w:autoSpaceDN w:val="0"/>
        <w:adjustRightInd w:val="0"/>
        <w:snapToGrid w:val="0"/>
        <w:spacing w:line="360" w:lineRule="exact"/>
        <w:ind w:firstLine="630" w:firstLineChars="300"/>
        <w:rPr>
          <w:rFonts w:ascii="宋体" w:hAnsi="宋体" w:cs="宋体"/>
          <w:color w:val="auto"/>
          <w:kern w:val="0"/>
          <w:szCs w:val="21"/>
          <w:highlight w:val="none"/>
        </w:rPr>
      </w:pPr>
      <w:r>
        <w:rPr>
          <w:rFonts w:ascii="宋体" w:hAnsi="宋体" w:cs="宋体"/>
          <w:color w:val="auto"/>
          <w:kern w:val="0"/>
          <w:szCs w:val="21"/>
          <w:highlight w:val="none"/>
        </w:rPr>
        <w:t>3</w:t>
      </w:r>
      <w:r>
        <w:rPr>
          <w:rFonts w:hint="eastAsia" w:ascii="宋体" w:hAnsi="宋体"/>
          <w:color w:val="auto"/>
          <w:szCs w:val="21"/>
          <w:highlight w:val="none"/>
        </w:rPr>
        <w:t>.</w:t>
      </w:r>
      <w:r>
        <w:rPr>
          <w:rFonts w:hint="eastAsia" w:ascii="宋体" w:hAnsi="宋体" w:cs="宋体"/>
          <w:color w:val="auto"/>
          <w:kern w:val="0"/>
          <w:szCs w:val="21"/>
          <w:highlight w:val="none"/>
        </w:rPr>
        <w:t>以联合体形式</w:t>
      </w:r>
      <w:r>
        <w:rPr>
          <w:rFonts w:hint="eastAsia" w:ascii="宋体" w:hAnsi="宋体"/>
          <w:color w:val="auto"/>
          <w:szCs w:val="21"/>
          <w:highlight w:val="none"/>
        </w:rPr>
        <w:t>投标</w:t>
      </w:r>
      <w:r>
        <w:rPr>
          <w:rFonts w:hint="eastAsia" w:ascii="宋体" w:hAnsi="宋体" w:cs="宋体"/>
          <w:color w:val="auto"/>
          <w:kern w:val="0"/>
          <w:szCs w:val="21"/>
          <w:highlight w:val="none"/>
        </w:rPr>
        <w:t>的，联合体各成员应分别填写。</w:t>
      </w:r>
    </w:p>
    <w:p>
      <w:pPr>
        <w:spacing w:line="400" w:lineRule="exact"/>
        <w:rPr>
          <w:color w:val="auto"/>
          <w:sz w:val="24"/>
          <w:highlight w:val="none"/>
        </w:rPr>
      </w:pPr>
    </w:p>
    <w:p>
      <w:pPr>
        <w:pStyle w:val="8"/>
        <w:jc w:val="center"/>
        <w:rPr>
          <w:b/>
          <w:bCs/>
          <w:color w:val="auto"/>
          <w:sz w:val="24"/>
          <w:highlight w:val="none"/>
        </w:rPr>
      </w:pPr>
      <w:bookmarkStart w:id="3143" w:name="_Toc9666085"/>
      <w:bookmarkStart w:id="3144" w:name="_Toc10125"/>
      <w:bookmarkStart w:id="3145" w:name="_Toc13769"/>
      <w:bookmarkStart w:id="3146" w:name="_Toc426496262"/>
      <w:bookmarkStart w:id="3147" w:name="_Toc31933"/>
      <w:bookmarkStart w:id="3148" w:name="_Toc17077"/>
      <w:bookmarkStart w:id="3149" w:name="_Toc29813"/>
      <w:bookmarkStart w:id="3150" w:name="_Toc429598788"/>
      <w:r>
        <w:rPr>
          <w:rFonts w:hint="eastAsia"/>
          <w:b/>
          <w:bCs/>
          <w:color w:val="auto"/>
          <w:sz w:val="24"/>
          <w:highlight w:val="none"/>
        </w:rPr>
        <w:t>2-2拟投入的流动资金函(格式)</w:t>
      </w:r>
      <w:bookmarkEnd w:id="3143"/>
      <w:bookmarkEnd w:id="3144"/>
      <w:bookmarkEnd w:id="3145"/>
      <w:bookmarkEnd w:id="3146"/>
      <w:bookmarkEnd w:id="3147"/>
      <w:bookmarkEnd w:id="3148"/>
      <w:bookmarkEnd w:id="3149"/>
      <w:bookmarkEnd w:id="3150"/>
    </w:p>
    <w:p>
      <w:pPr>
        <w:spacing w:line="400" w:lineRule="exact"/>
        <w:rPr>
          <w:rFonts w:ascii="宋体" w:hAnsi="宋体"/>
          <w:color w:val="auto"/>
          <w:szCs w:val="21"/>
          <w:highlight w:val="none"/>
          <w:u w:val="single"/>
        </w:rPr>
      </w:pPr>
    </w:p>
    <w:p>
      <w:pPr>
        <w:spacing w:line="400" w:lineRule="exact"/>
        <w:rPr>
          <w:rFonts w:ascii="宋体" w:hAnsi="宋体"/>
          <w:color w:val="auto"/>
          <w:szCs w:val="21"/>
          <w:highlight w:val="none"/>
        </w:rPr>
      </w:pPr>
      <w:r>
        <w:rPr>
          <w:rFonts w:hint="eastAsia" w:ascii="宋体" w:hAnsi="宋体"/>
          <w:color w:val="auto"/>
          <w:szCs w:val="21"/>
          <w:highlight w:val="none"/>
          <w:u w:val="single"/>
        </w:rPr>
        <w:t>　　　　　　　　</w:t>
      </w:r>
      <w:r>
        <w:rPr>
          <w:rFonts w:hint="eastAsia" w:ascii="宋体" w:hAnsi="宋体"/>
          <w:color w:val="auto"/>
          <w:szCs w:val="21"/>
          <w:highlight w:val="none"/>
        </w:rPr>
        <w:t>(招标人名称)：</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我方拟投入</w:t>
      </w:r>
      <w:r>
        <w:rPr>
          <w:rFonts w:hint="eastAsia" w:ascii="宋体" w:hAnsi="宋体"/>
          <w:color w:val="auto"/>
          <w:szCs w:val="21"/>
          <w:highlight w:val="none"/>
          <w:u w:val="single"/>
        </w:rPr>
        <w:t>　　　　　　</w:t>
      </w:r>
      <w:r>
        <w:rPr>
          <w:rFonts w:hint="eastAsia" w:ascii="宋体" w:hAnsi="宋体"/>
          <w:color w:val="auto"/>
          <w:szCs w:val="21"/>
          <w:highlight w:val="none"/>
        </w:rPr>
        <w:t>(项目名称)</w:t>
      </w:r>
      <w:r>
        <w:rPr>
          <w:rFonts w:hint="eastAsia" w:ascii="宋体" w:hAnsi="宋体"/>
          <w:color w:val="auto"/>
          <w:szCs w:val="21"/>
          <w:highlight w:val="none"/>
          <w:u w:val="single"/>
        </w:rPr>
        <w:t>　　　　　</w:t>
      </w:r>
      <w:r>
        <w:rPr>
          <w:rFonts w:hint="eastAsia" w:ascii="宋体" w:hAnsi="宋体"/>
          <w:color w:val="auto"/>
          <w:szCs w:val="21"/>
          <w:highlight w:val="none"/>
        </w:rPr>
        <w:t>(标段名称)的流动资金为</w:t>
      </w:r>
      <w:r>
        <w:rPr>
          <w:rFonts w:hint="eastAsia" w:ascii="宋体" w:hAnsi="宋体"/>
          <w:color w:val="auto"/>
          <w:szCs w:val="21"/>
          <w:highlight w:val="none"/>
          <w:u w:val="single"/>
        </w:rPr>
        <w:t>　　　　</w:t>
      </w:r>
      <w:r>
        <w:rPr>
          <w:rFonts w:hint="eastAsia" w:ascii="宋体" w:hAnsi="宋体"/>
          <w:color w:val="auto"/>
          <w:szCs w:val="21"/>
          <w:highlight w:val="none"/>
        </w:rPr>
        <w:t>万元，资金来源于</w:t>
      </w:r>
      <w:r>
        <w:rPr>
          <w:rFonts w:hint="eastAsia" w:ascii="宋体" w:hAnsi="宋体"/>
          <w:color w:val="auto"/>
          <w:szCs w:val="21"/>
          <w:highlight w:val="none"/>
          <w:u w:val="single"/>
        </w:rPr>
        <w:t>　　　　　　　</w:t>
      </w:r>
      <w:r>
        <w:rPr>
          <w:rFonts w:hint="eastAsia" w:ascii="宋体" w:hAnsi="宋体"/>
          <w:color w:val="auto"/>
          <w:szCs w:val="21"/>
          <w:highlight w:val="none"/>
        </w:rPr>
        <w:t>，资金来源证明文件附后。</w:t>
      </w:r>
    </w:p>
    <w:p>
      <w:pPr>
        <w:spacing w:line="400" w:lineRule="exact"/>
        <w:ind w:firstLine="420" w:firstLineChars="200"/>
        <w:rPr>
          <w:rFonts w:ascii="宋体" w:hAnsi="宋体"/>
          <w:color w:val="auto"/>
          <w:szCs w:val="21"/>
          <w:highlight w:val="none"/>
        </w:rPr>
      </w:pPr>
    </w:p>
    <w:p>
      <w:pPr>
        <w:spacing w:line="400" w:lineRule="exact"/>
        <w:ind w:firstLine="420" w:firstLineChars="200"/>
        <w:rPr>
          <w:rFonts w:ascii="宋体" w:hAnsi="宋体"/>
          <w:color w:val="auto"/>
          <w:szCs w:val="21"/>
          <w:highlight w:val="none"/>
        </w:rPr>
      </w:pP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　　　　　　　　　　　　　　　　　　　　　投标人：</w:t>
      </w:r>
      <w:r>
        <w:rPr>
          <w:rFonts w:hint="eastAsia" w:ascii="宋体" w:hAnsi="宋体"/>
          <w:color w:val="auto"/>
          <w:szCs w:val="21"/>
          <w:highlight w:val="none"/>
          <w:u w:val="single"/>
        </w:rPr>
        <w:t>　　　　　　　　</w:t>
      </w:r>
      <w:r>
        <w:rPr>
          <w:rFonts w:hint="eastAsia" w:ascii="宋体" w:hAnsi="宋体"/>
          <w:color w:val="auto"/>
          <w:szCs w:val="21"/>
          <w:highlight w:val="none"/>
        </w:rPr>
        <w:t>(盖单位章)</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　　　　　　　　　　　　　　　　　　　　　　　　 　</w:t>
      </w:r>
      <w:r>
        <w:rPr>
          <w:rFonts w:hint="eastAsia" w:ascii="宋体" w:hAnsi="宋体"/>
          <w:color w:val="auto"/>
          <w:szCs w:val="21"/>
          <w:highlight w:val="none"/>
          <w:u w:val="single"/>
        </w:rPr>
        <w:t>　　　　　</w:t>
      </w:r>
      <w:r>
        <w:rPr>
          <w:rFonts w:hint="eastAsia" w:ascii="宋体" w:hAnsi="宋体"/>
          <w:color w:val="auto"/>
          <w:szCs w:val="21"/>
          <w:highlight w:val="none"/>
        </w:rPr>
        <w:t>年</w:t>
      </w:r>
      <w:r>
        <w:rPr>
          <w:rFonts w:hint="eastAsia" w:ascii="宋体" w:hAnsi="宋体"/>
          <w:color w:val="auto"/>
          <w:szCs w:val="21"/>
          <w:highlight w:val="none"/>
          <w:u w:val="single"/>
        </w:rPr>
        <w:t>　　</w:t>
      </w:r>
      <w:r>
        <w:rPr>
          <w:rFonts w:hint="eastAsia" w:ascii="宋体" w:hAnsi="宋体"/>
          <w:color w:val="auto"/>
          <w:szCs w:val="21"/>
          <w:highlight w:val="none"/>
        </w:rPr>
        <w:t>月</w:t>
      </w:r>
      <w:r>
        <w:rPr>
          <w:rFonts w:hint="eastAsia" w:ascii="宋体" w:hAnsi="宋体"/>
          <w:color w:val="auto"/>
          <w:szCs w:val="21"/>
          <w:highlight w:val="none"/>
          <w:u w:val="single"/>
        </w:rPr>
        <w:t>　　</w:t>
      </w:r>
      <w:r>
        <w:rPr>
          <w:rFonts w:hint="eastAsia" w:ascii="宋体" w:hAnsi="宋体"/>
          <w:color w:val="auto"/>
          <w:szCs w:val="21"/>
          <w:highlight w:val="none"/>
        </w:rPr>
        <w:t>日</w:t>
      </w:r>
    </w:p>
    <w:p>
      <w:pPr>
        <w:spacing w:line="400" w:lineRule="exact"/>
        <w:jc w:val="right"/>
        <w:rPr>
          <w:color w:val="auto"/>
          <w:highlight w:val="none"/>
        </w:rPr>
      </w:pPr>
    </w:p>
    <w:p>
      <w:pPr>
        <w:spacing w:line="400" w:lineRule="exact"/>
        <w:jc w:val="right"/>
        <w:rPr>
          <w:color w:val="auto"/>
          <w:highlight w:val="none"/>
        </w:rPr>
      </w:pPr>
    </w:p>
    <w:p>
      <w:pPr>
        <w:spacing w:line="400" w:lineRule="exact"/>
        <w:jc w:val="right"/>
        <w:rPr>
          <w:color w:val="auto"/>
          <w:highlight w:val="none"/>
        </w:rPr>
      </w:pPr>
    </w:p>
    <w:p>
      <w:pPr>
        <w:spacing w:line="400" w:lineRule="exact"/>
        <w:jc w:val="left"/>
        <w:rPr>
          <w:color w:val="auto"/>
          <w:highlight w:val="none"/>
        </w:rPr>
      </w:pPr>
      <w:r>
        <w:rPr>
          <w:rFonts w:hint="eastAsia"/>
          <w:color w:val="auto"/>
          <w:szCs w:val="21"/>
          <w:highlight w:val="none"/>
        </w:rPr>
        <w:t>备</w:t>
      </w:r>
      <w:r>
        <w:rPr>
          <w:rFonts w:hint="eastAsia"/>
          <w:color w:val="auto"/>
          <w:highlight w:val="none"/>
        </w:rPr>
        <w:t>注：资金来源填写银行的存款、银行信贷或其它形式。</w:t>
      </w:r>
    </w:p>
    <w:p>
      <w:pPr>
        <w:spacing w:line="400" w:lineRule="exact"/>
        <w:jc w:val="left"/>
        <w:rPr>
          <w:color w:val="auto"/>
          <w:highlight w:val="none"/>
        </w:rPr>
      </w:pPr>
    </w:p>
    <w:p>
      <w:pPr>
        <w:spacing w:line="400" w:lineRule="exact"/>
        <w:rPr>
          <w:color w:val="auto"/>
          <w:highlight w:val="none"/>
        </w:rPr>
      </w:pPr>
    </w:p>
    <w:p>
      <w:pPr>
        <w:spacing w:line="400" w:lineRule="exact"/>
        <w:rPr>
          <w:color w:val="auto"/>
          <w:highlight w:val="none"/>
        </w:rPr>
      </w:pPr>
    </w:p>
    <w:p>
      <w:pPr>
        <w:spacing w:line="400" w:lineRule="exact"/>
        <w:rPr>
          <w:color w:val="auto"/>
          <w:highlight w:val="none"/>
        </w:rPr>
      </w:pPr>
    </w:p>
    <w:p>
      <w:pPr>
        <w:spacing w:line="400" w:lineRule="exact"/>
        <w:rPr>
          <w:color w:val="auto"/>
          <w:highlight w:val="none"/>
        </w:rPr>
      </w:pPr>
    </w:p>
    <w:p>
      <w:pPr>
        <w:spacing w:line="400" w:lineRule="exact"/>
        <w:rPr>
          <w:color w:val="auto"/>
          <w:highlight w:val="none"/>
        </w:rPr>
      </w:pPr>
    </w:p>
    <w:p>
      <w:pPr>
        <w:spacing w:line="400" w:lineRule="exact"/>
        <w:rPr>
          <w:color w:val="auto"/>
          <w:highlight w:val="none"/>
        </w:rPr>
      </w:pPr>
    </w:p>
    <w:p>
      <w:pPr>
        <w:spacing w:line="400" w:lineRule="exact"/>
        <w:rPr>
          <w:color w:val="auto"/>
          <w:highlight w:val="none"/>
        </w:rPr>
      </w:pPr>
    </w:p>
    <w:p>
      <w:pPr>
        <w:spacing w:line="400" w:lineRule="exact"/>
        <w:outlineLvl w:val="9"/>
        <w:rPr>
          <w:color w:val="auto"/>
          <w:highlight w:val="none"/>
        </w:rPr>
      </w:pPr>
    </w:p>
    <w:p>
      <w:pPr>
        <w:spacing w:line="400" w:lineRule="exact"/>
        <w:outlineLvl w:val="9"/>
        <w:rPr>
          <w:color w:val="auto"/>
          <w:highlight w:val="none"/>
        </w:rPr>
      </w:pPr>
    </w:p>
    <w:p>
      <w:pPr>
        <w:spacing w:line="400" w:lineRule="exact"/>
        <w:outlineLvl w:val="9"/>
        <w:rPr>
          <w:color w:val="auto"/>
          <w:highlight w:val="none"/>
        </w:rPr>
      </w:pPr>
    </w:p>
    <w:p>
      <w:pPr>
        <w:spacing w:line="400" w:lineRule="exact"/>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outlineLvl w:val="9"/>
        <w:rPr>
          <w:color w:val="auto"/>
          <w:highlight w:val="none"/>
        </w:rPr>
      </w:pPr>
    </w:p>
    <w:p>
      <w:pPr>
        <w:pStyle w:val="30"/>
        <w:outlineLvl w:val="9"/>
        <w:rPr>
          <w:color w:val="auto"/>
          <w:highlight w:val="none"/>
        </w:rPr>
      </w:pPr>
    </w:p>
    <w:p>
      <w:pPr>
        <w:spacing w:line="400" w:lineRule="exact"/>
        <w:outlineLvl w:val="9"/>
        <w:rPr>
          <w:color w:val="auto"/>
          <w:highlight w:val="none"/>
        </w:rPr>
      </w:pPr>
    </w:p>
    <w:p>
      <w:pPr>
        <w:outlineLvl w:val="9"/>
        <w:rPr>
          <w:rFonts w:hint="eastAsia"/>
          <w:color w:val="auto"/>
          <w:sz w:val="24"/>
          <w:szCs w:val="24"/>
          <w:highlight w:val="none"/>
        </w:rPr>
      </w:pPr>
      <w:bookmarkStart w:id="3151" w:name="_Toc14840"/>
      <w:bookmarkStart w:id="3152" w:name="_Toc109149974"/>
      <w:bookmarkStart w:id="3153" w:name="_Toc429598795"/>
      <w:bookmarkStart w:id="3154" w:name="_Toc10708"/>
      <w:bookmarkStart w:id="3155" w:name="_Toc12326"/>
      <w:bookmarkStart w:id="3156" w:name="_Toc1493641770"/>
      <w:bookmarkStart w:id="3157" w:name="_Toc28171"/>
      <w:bookmarkStart w:id="3158" w:name="_Toc426496269"/>
      <w:bookmarkStart w:id="3159" w:name="_Toc1342896013"/>
      <w:bookmarkStart w:id="3160" w:name="_Toc5062"/>
      <w:r>
        <w:rPr>
          <w:rFonts w:hint="eastAsia"/>
          <w:color w:val="auto"/>
          <w:sz w:val="24"/>
          <w:szCs w:val="24"/>
          <w:highlight w:val="none"/>
        </w:rPr>
        <w:br w:type="page"/>
      </w:r>
    </w:p>
    <w:p>
      <w:pPr>
        <w:pStyle w:val="32"/>
        <w:jc w:val="left"/>
        <w:outlineLvl w:val="3"/>
        <w:rPr>
          <w:color w:val="auto"/>
          <w:sz w:val="24"/>
          <w:szCs w:val="24"/>
          <w:highlight w:val="none"/>
        </w:rPr>
      </w:pPr>
      <w:bookmarkStart w:id="3161" w:name="_Toc29653"/>
      <w:r>
        <w:rPr>
          <w:rFonts w:hint="eastAsia"/>
          <w:color w:val="auto"/>
          <w:sz w:val="24"/>
          <w:szCs w:val="24"/>
          <w:highlight w:val="none"/>
        </w:rPr>
        <w:t>（</w:t>
      </w:r>
      <w:r>
        <w:rPr>
          <w:rFonts w:hint="eastAsia"/>
          <w:color w:val="auto"/>
          <w:sz w:val="24"/>
          <w:szCs w:val="24"/>
          <w:highlight w:val="none"/>
          <w:lang w:val="en-US" w:eastAsia="zh-CN"/>
        </w:rPr>
        <w:t>三</w:t>
      </w:r>
      <w:r>
        <w:rPr>
          <w:rFonts w:hint="eastAsia"/>
          <w:color w:val="auto"/>
          <w:sz w:val="24"/>
          <w:szCs w:val="24"/>
          <w:highlight w:val="none"/>
        </w:rPr>
        <w:t>）企业信用信誉情况</w:t>
      </w:r>
      <w:bookmarkEnd w:id="3151"/>
      <w:bookmarkEnd w:id="3152"/>
      <w:bookmarkEnd w:id="3153"/>
      <w:bookmarkEnd w:id="3154"/>
      <w:bookmarkEnd w:id="3155"/>
      <w:bookmarkEnd w:id="3156"/>
      <w:bookmarkEnd w:id="3157"/>
      <w:bookmarkEnd w:id="3158"/>
      <w:bookmarkEnd w:id="3159"/>
      <w:bookmarkEnd w:id="3160"/>
      <w:bookmarkEnd w:id="3161"/>
    </w:p>
    <w:p>
      <w:pPr>
        <w:pStyle w:val="8"/>
        <w:jc w:val="center"/>
        <w:rPr>
          <w:b/>
          <w:bCs/>
          <w:color w:val="auto"/>
          <w:sz w:val="24"/>
          <w:highlight w:val="none"/>
        </w:rPr>
      </w:pPr>
      <w:bookmarkStart w:id="3162" w:name="_Toc426496270"/>
      <w:bookmarkStart w:id="3163" w:name="_Toc429598796"/>
      <w:bookmarkStart w:id="3164" w:name="_Toc18858"/>
      <w:bookmarkStart w:id="3165" w:name="_Toc23427"/>
      <w:bookmarkStart w:id="3166" w:name="_Toc111954487"/>
      <w:bookmarkStart w:id="3167" w:name="_Toc15863"/>
      <w:bookmarkStart w:id="3168" w:name="_Toc12591"/>
      <w:bookmarkStart w:id="3169" w:name="_Toc24464"/>
    </w:p>
    <w:p>
      <w:pPr>
        <w:pStyle w:val="8"/>
        <w:jc w:val="center"/>
        <w:rPr>
          <w:b/>
          <w:bCs/>
          <w:color w:val="auto"/>
          <w:sz w:val="24"/>
          <w:highlight w:val="none"/>
        </w:rPr>
      </w:pPr>
      <w:r>
        <w:rPr>
          <w:rFonts w:hint="eastAsia"/>
          <w:b/>
          <w:bCs/>
          <w:color w:val="auto"/>
          <w:sz w:val="24"/>
          <w:highlight w:val="none"/>
          <w:lang w:val="en-US" w:eastAsia="zh-CN"/>
        </w:rPr>
        <w:t>3</w:t>
      </w:r>
      <w:r>
        <w:rPr>
          <w:rFonts w:hint="eastAsia"/>
          <w:b/>
          <w:bCs/>
          <w:color w:val="auto"/>
          <w:sz w:val="24"/>
          <w:highlight w:val="none"/>
        </w:rPr>
        <w:t>-</w:t>
      </w:r>
      <w:bookmarkEnd w:id="3162"/>
      <w:bookmarkEnd w:id="3163"/>
      <w:r>
        <w:rPr>
          <w:rFonts w:hint="eastAsia"/>
          <w:b/>
          <w:bCs/>
          <w:color w:val="auto"/>
          <w:sz w:val="24"/>
          <w:highlight w:val="none"/>
        </w:rPr>
        <w:t>1 企业信誉声明</w:t>
      </w:r>
      <w:bookmarkEnd w:id="3164"/>
      <w:bookmarkEnd w:id="3165"/>
      <w:bookmarkEnd w:id="3166"/>
      <w:bookmarkEnd w:id="3167"/>
      <w:bookmarkEnd w:id="3168"/>
      <w:bookmarkEnd w:id="3169"/>
    </w:p>
    <w:p>
      <w:pPr>
        <w:jc w:val="center"/>
        <w:rPr>
          <w:color w:val="auto"/>
          <w:highlight w:val="none"/>
        </w:rPr>
      </w:pPr>
    </w:p>
    <w:p>
      <w:pPr>
        <w:rPr>
          <w:rFonts w:ascii="宋体" w:hAnsi="宋体"/>
          <w:color w:val="auto"/>
          <w:highlight w:val="none"/>
        </w:rPr>
      </w:pPr>
      <w:r>
        <w:rPr>
          <w:rFonts w:hint="eastAsia" w:ascii="宋体" w:hAnsi="宋体"/>
          <w:color w:val="auto"/>
          <w:szCs w:val="21"/>
          <w:highlight w:val="none"/>
          <w:u w:val="single"/>
          <w:lang w:val="en-US" w:eastAsia="zh-CN"/>
        </w:rPr>
        <w:t xml:space="preserve">    </w:t>
      </w:r>
      <w:r>
        <w:rPr>
          <w:rFonts w:hint="eastAsia" w:ascii="宋体" w:hAnsi="宋体"/>
          <w:color w:val="auto"/>
          <w:highlight w:val="none"/>
        </w:rPr>
        <w:t>（招标人名称）：</w:t>
      </w:r>
    </w:p>
    <w:p>
      <w:pPr>
        <w:rPr>
          <w:rFonts w:ascii="宋体" w:hAnsi="宋体"/>
          <w:color w:val="auto"/>
          <w:highlight w:val="none"/>
        </w:rPr>
      </w:pP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我方在此声明，</w:t>
      </w:r>
      <w:r>
        <w:rPr>
          <w:rFonts w:hint="eastAsia" w:ascii="宋体" w:hAnsi="宋体"/>
          <w:color w:val="auto"/>
          <w:highlight w:val="none"/>
        </w:rPr>
        <w:t>截止本招标项目投标截止时间，我方处于</w:t>
      </w:r>
      <w:r>
        <w:rPr>
          <w:rFonts w:hint="eastAsia" w:ascii="宋体" w:hAnsi="宋体"/>
          <w:color w:val="auto"/>
          <w:szCs w:val="21"/>
          <w:highlight w:val="none"/>
        </w:rPr>
        <w:t>正常的经营状态，不存在下列任何一种情形。</w:t>
      </w:r>
    </w:p>
    <w:p>
      <w:pPr>
        <w:spacing w:line="400" w:lineRule="exact"/>
        <w:ind w:firstLine="420" w:firstLineChars="200"/>
        <w:rPr>
          <w:color w:val="auto"/>
          <w:highlight w:val="none"/>
        </w:rPr>
      </w:pPr>
      <w:r>
        <w:rPr>
          <w:rFonts w:hint="eastAsia"/>
          <w:color w:val="auto"/>
          <w:highlight w:val="none"/>
        </w:rPr>
        <w:t>1．被依法暂停或取消投标资格（指被本招标项目所在地县级及以上</w:t>
      </w:r>
      <w:r>
        <w:rPr>
          <w:color w:val="auto"/>
          <w:highlight w:val="none"/>
        </w:rPr>
        <w:t>农业农村</w:t>
      </w:r>
      <w:r>
        <w:rPr>
          <w:rFonts w:hint="eastAsia"/>
          <w:color w:val="auto"/>
          <w:highlight w:val="none"/>
        </w:rPr>
        <w:t xml:space="preserve">（或住建、或水利、或公共资源交易）行政主管部门暂停或取消投标资格或禁止进入该区域建设市场且处于有效期内）； </w:t>
      </w:r>
    </w:p>
    <w:p>
      <w:pPr>
        <w:spacing w:line="400" w:lineRule="exact"/>
        <w:ind w:firstLine="420" w:firstLineChars="200"/>
        <w:rPr>
          <w:color w:val="auto"/>
          <w:highlight w:val="none"/>
        </w:rPr>
      </w:pPr>
      <w:r>
        <w:rPr>
          <w:rFonts w:hint="eastAsia"/>
          <w:color w:val="auto"/>
          <w:highlight w:val="none"/>
        </w:rPr>
        <w:t>2．被责令停产停业、暂扣或者吊销许可证、暂扣或者吊销执照；</w:t>
      </w:r>
    </w:p>
    <w:p>
      <w:pPr>
        <w:spacing w:line="400" w:lineRule="exact"/>
        <w:ind w:firstLine="420" w:firstLineChars="200"/>
        <w:rPr>
          <w:color w:val="auto"/>
          <w:highlight w:val="none"/>
        </w:rPr>
      </w:pPr>
      <w:r>
        <w:rPr>
          <w:rFonts w:hint="eastAsia"/>
          <w:color w:val="auto"/>
          <w:highlight w:val="none"/>
        </w:rPr>
        <w:t>3．进入清算程序，或被宣告破产，或其他丧失履约能力的情形；</w:t>
      </w:r>
    </w:p>
    <w:p>
      <w:pPr>
        <w:spacing w:line="400" w:lineRule="exact"/>
        <w:ind w:firstLine="420" w:firstLineChars="200"/>
        <w:rPr>
          <w:color w:val="auto"/>
          <w:highlight w:val="none"/>
        </w:rPr>
      </w:pPr>
      <w:r>
        <w:rPr>
          <w:rFonts w:hint="eastAsia"/>
          <w:color w:val="auto"/>
          <w:highlight w:val="none"/>
        </w:rPr>
        <w:t>4．在最近三年内发生重大工程质量问题；</w:t>
      </w:r>
    </w:p>
    <w:p>
      <w:pPr>
        <w:spacing w:line="400" w:lineRule="exact"/>
        <w:ind w:firstLine="420" w:firstLineChars="200"/>
        <w:rPr>
          <w:color w:val="auto"/>
          <w:highlight w:val="none"/>
        </w:rPr>
      </w:pPr>
      <w:r>
        <w:rPr>
          <w:rFonts w:hint="eastAsia"/>
          <w:color w:val="auto"/>
          <w:highlight w:val="none"/>
        </w:rPr>
        <w:t>5．在“国家企业信用信息公示系统”</w:t>
      </w:r>
      <w:bookmarkStart w:id="3190" w:name="_GoBack"/>
      <w:bookmarkEnd w:id="3190"/>
      <w:r>
        <w:rPr>
          <w:rFonts w:hint="eastAsia"/>
          <w:color w:val="auto"/>
          <w:highlight w:val="none"/>
        </w:rPr>
        <w:t>中被列入严重违法失信企业名单；</w:t>
      </w:r>
    </w:p>
    <w:p>
      <w:pPr>
        <w:spacing w:line="400" w:lineRule="exact"/>
        <w:ind w:firstLine="420" w:firstLineChars="200"/>
        <w:rPr>
          <w:color w:val="auto"/>
          <w:highlight w:val="none"/>
        </w:rPr>
      </w:pPr>
      <w:r>
        <w:rPr>
          <w:rFonts w:hint="eastAsia"/>
          <w:color w:val="auto"/>
          <w:highlight w:val="none"/>
        </w:rPr>
        <w:t>6．在</w:t>
      </w:r>
      <w:r>
        <w:rPr>
          <w:color w:val="auto"/>
          <w:highlight w:val="none"/>
        </w:rPr>
        <w:t>“</w:t>
      </w:r>
      <w:r>
        <w:rPr>
          <w:rFonts w:hint="eastAsia"/>
          <w:color w:val="auto"/>
          <w:highlight w:val="none"/>
        </w:rPr>
        <w:t>信用中国</w:t>
      </w:r>
      <w:r>
        <w:rPr>
          <w:color w:val="auto"/>
          <w:highlight w:val="none"/>
        </w:rPr>
        <w:t>”</w:t>
      </w:r>
      <w:r>
        <w:rPr>
          <w:rFonts w:hint="eastAsia"/>
          <w:color w:val="auto"/>
          <w:highlight w:val="none"/>
        </w:rPr>
        <w:t>网站（</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color w:val="auto"/>
          <w:highlight w:val="none"/>
        </w:rPr>
        <w:t>www.creditchina.gov.cn</w:t>
      </w:r>
      <w:r>
        <w:rPr>
          <w:color w:val="auto"/>
          <w:highlight w:val="none"/>
        </w:rPr>
        <w:fldChar w:fldCharType="end"/>
      </w:r>
      <w:r>
        <w:rPr>
          <w:rFonts w:hint="eastAsia"/>
          <w:color w:val="auto"/>
          <w:highlight w:val="none"/>
        </w:rPr>
        <w:t>）或“中国执行信息公开网”（http://zxgk.court.gov.cn/shixin/）被列入失信被执行人名单；</w:t>
      </w:r>
    </w:p>
    <w:p>
      <w:pPr>
        <w:spacing w:line="400" w:lineRule="exact"/>
        <w:ind w:firstLine="420" w:firstLineChars="200"/>
        <w:rPr>
          <w:color w:val="auto"/>
          <w:highlight w:val="none"/>
        </w:rPr>
      </w:pPr>
      <w:r>
        <w:rPr>
          <w:rFonts w:hint="eastAsia"/>
          <w:color w:val="auto"/>
          <w:highlight w:val="none"/>
        </w:rPr>
        <w:t>7．在近三年内投标人或其法定代表人、拟委任的项目负责人有行贿犯罪行为。</w:t>
      </w:r>
    </w:p>
    <w:p>
      <w:pPr>
        <w:spacing w:line="440" w:lineRule="exact"/>
        <w:ind w:firstLine="420" w:firstLineChars="200"/>
        <w:rPr>
          <w:color w:val="auto"/>
          <w:highlight w:val="none"/>
        </w:rPr>
      </w:pPr>
      <w:r>
        <w:rPr>
          <w:rFonts w:hint="eastAsia"/>
          <w:color w:val="auto"/>
          <w:highlight w:val="none"/>
        </w:rPr>
        <w:t xml:space="preserve">8. </w:t>
      </w:r>
      <w:r>
        <w:rPr>
          <w:color w:val="auto"/>
          <w:highlight w:val="none"/>
        </w:rPr>
        <w:t>法律法规或投标人须知前附表</w:t>
      </w:r>
      <w:r>
        <w:rPr>
          <w:rFonts w:hint="eastAsia"/>
          <w:color w:val="auto"/>
          <w:highlight w:val="none"/>
        </w:rPr>
        <w:t>第1.4.3（19）目</w:t>
      </w:r>
      <w:r>
        <w:rPr>
          <w:color w:val="auto"/>
          <w:highlight w:val="none"/>
        </w:rPr>
        <w:t>规定的其他情形。</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我方保证上述信息的真实和准确，并愿意承担因我方就此弄虚作假所引起的一切法律后果。</w:t>
      </w:r>
    </w:p>
    <w:p>
      <w:pPr>
        <w:spacing w:line="440" w:lineRule="exact"/>
        <w:ind w:firstLine="420" w:firstLineChars="200"/>
        <w:rPr>
          <w:rFonts w:ascii="宋体" w:hAnsi="宋体"/>
          <w:color w:val="auto"/>
          <w:szCs w:val="21"/>
          <w:highlight w:val="none"/>
        </w:rPr>
      </w:pPr>
    </w:p>
    <w:p>
      <w:pPr>
        <w:spacing w:line="440" w:lineRule="exact"/>
        <w:ind w:firstLine="3990" w:firstLineChars="1900"/>
        <w:rPr>
          <w:rFonts w:ascii="宋体" w:hAnsi="宋体"/>
          <w:color w:val="auto"/>
          <w:szCs w:val="21"/>
          <w:highlight w:val="none"/>
        </w:rPr>
      </w:pPr>
      <w:r>
        <w:rPr>
          <w:rFonts w:hint="eastAsia" w:ascii="宋体" w:hAnsi="宋体"/>
          <w:color w:val="auto"/>
          <w:szCs w:val="21"/>
          <w:highlight w:val="none"/>
        </w:rPr>
        <w:t>投标人：（盖单位章）</w:t>
      </w:r>
    </w:p>
    <w:p>
      <w:pPr>
        <w:spacing w:line="440" w:lineRule="exact"/>
        <w:ind w:firstLine="3990" w:firstLineChars="1900"/>
        <w:rPr>
          <w:rFonts w:ascii="宋体" w:hAnsi="宋体"/>
          <w:color w:val="auto"/>
          <w:szCs w:val="21"/>
          <w:highlight w:val="none"/>
        </w:rPr>
      </w:pPr>
      <w:r>
        <w:rPr>
          <w:rFonts w:hint="eastAsia" w:ascii="宋体" w:hAnsi="宋体"/>
          <w:color w:val="auto"/>
          <w:szCs w:val="21"/>
          <w:highlight w:val="none"/>
        </w:rPr>
        <w:t>法定代表人：（签字）</w:t>
      </w:r>
    </w:p>
    <w:p>
      <w:pPr>
        <w:spacing w:line="440" w:lineRule="exact"/>
        <w:ind w:firstLine="420" w:firstLineChars="200"/>
        <w:jc w:val="center"/>
        <w:rPr>
          <w:rFonts w:hint="eastAsia" w:ascii="宋体" w:hAnsi="宋体"/>
          <w:color w:val="auto"/>
          <w:szCs w:val="21"/>
          <w:highlight w:val="none"/>
        </w:rPr>
      </w:pPr>
      <w:r>
        <w:rPr>
          <w:rFonts w:hint="eastAsia" w:ascii="宋体" w:hAnsi="宋体"/>
          <w:color w:val="auto"/>
          <w:szCs w:val="21"/>
          <w:highlight w:val="none"/>
        </w:rPr>
        <w:t xml:space="preserve"> 年  月  日</w:t>
      </w:r>
    </w:p>
    <w:p>
      <w:pPr>
        <w:spacing w:line="440" w:lineRule="exact"/>
        <w:ind w:firstLine="420" w:firstLineChars="200"/>
        <w:jc w:val="center"/>
        <w:rPr>
          <w:rFonts w:hint="eastAsia" w:ascii="宋体" w:hAnsi="宋体"/>
          <w:color w:val="auto"/>
          <w:szCs w:val="21"/>
          <w:highlight w:val="none"/>
        </w:rPr>
      </w:pPr>
    </w:p>
    <w:p>
      <w:pPr>
        <w:spacing w:line="360" w:lineRule="exact"/>
        <w:ind w:left="840" w:hanging="840" w:hangingChars="400"/>
        <w:rPr>
          <w:rFonts w:ascii="宋体" w:hAnsi="宋体"/>
          <w:color w:val="auto"/>
          <w:szCs w:val="21"/>
          <w:highlight w:val="none"/>
        </w:rPr>
      </w:pPr>
      <w:r>
        <w:rPr>
          <w:rFonts w:hint="eastAsia" w:ascii="宋体" w:hAnsi="宋体"/>
          <w:color w:val="auto"/>
          <w:highlight w:val="none"/>
        </w:rPr>
        <w:t>备注：1.</w:t>
      </w:r>
      <w:r>
        <w:rPr>
          <w:rFonts w:hint="eastAsia"/>
          <w:color w:val="auto"/>
          <w:szCs w:val="21"/>
          <w:highlight w:val="none"/>
        </w:rPr>
        <w:t>投标人应针对第二章“投标人须知”第1.4.1项的要求，在此对其信誉情况做出声明。</w:t>
      </w:r>
      <w:r>
        <w:rPr>
          <w:rFonts w:hint="eastAsia" w:ascii="宋体" w:hAnsi="宋体"/>
          <w:color w:val="auto"/>
          <w:highlight w:val="none"/>
        </w:rPr>
        <w:t>如上格式文件所示。</w:t>
      </w:r>
      <w:r>
        <w:rPr>
          <w:rFonts w:hint="eastAsia" w:ascii="宋体" w:hAnsi="宋体"/>
          <w:color w:val="auto"/>
          <w:szCs w:val="21"/>
          <w:highlight w:val="none"/>
        </w:rPr>
        <w:t>如联合体投标，联合体各成员单位均应按要求填写本表。</w:t>
      </w:r>
    </w:p>
    <w:p>
      <w:pPr>
        <w:spacing w:line="360" w:lineRule="exact"/>
        <w:ind w:left="840" w:leftChars="300" w:hanging="210" w:hangingChars="100"/>
        <w:rPr>
          <w:rFonts w:ascii="宋体" w:hAnsi="宋体"/>
          <w:color w:val="auto"/>
          <w:szCs w:val="21"/>
          <w:highlight w:val="none"/>
        </w:rPr>
      </w:pPr>
      <w:r>
        <w:rPr>
          <w:rFonts w:hint="eastAsia" w:ascii="宋体" w:hAnsi="宋体"/>
          <w:color w:val="auto"/>
          <w:szCs w:val="21"/>
          <w:highlight w:val="none"/>
        </w:rPr>
        <w:t>2.近3年是指从投标截止日往前推算的3年，如投标截止日为2022年10月1日，则近3年是指2019年10月1日至2022年9月31日。</w:t>
      </w:r>
    </w:p>
    <w:p>
      <w:pPr>
        <w:spacing w:line="360" w:lineRule="exact"/>
        <w:ind w:left="840" w:leftChars="300" w:hanging="210" w:hangingChars="100"/>
        <w:rPr>
          <w:rFonts w:ascii="宋体" w:hAnsi="宋体"/>
          <w:color w:val="auto"/>
          <w:szCs w:val="21"/>
          <w:highlight w:val="none"/>
        </w:rPr>
      </w:pPr>
      <w:r>
        <w:rPr>
          <w:rFonts w:hint="eastAsia" w:ascii="宋体" w:hAnsi="宋体"/>
          <w:color w:val="auto"/>
          <w:szCs w:val="21"/>
          <w:highlight w:val="none"/>
        </w:rPr>
        <w:t>3.招标人和评标委员会在评标过程中，应对各投标人（包括联合体各成员单位）的</w:t>
      </w:r>
      <w:r>
        <w:rPr>
          <w:rFonts w:hint="eastAsia"/>
          <w:color w:val="auto"/>
          <w:highlight w:val="none"/>
        </w:rPr>
        <w:t>严重违法失信企业、失信被执行人、行贿犯罪行为等情况进行查询，并将查询结果“截图”附在评标报告中。</w:t>
      </w:r>
    </w:p>
    <w:p>
      <w:pPr>
        <w:spacing w:line="360" w:lineRule="auto"/>
        <w:rPr>
          <w:color w:val="auto"/>
          <w:highlight w:val="none"/>
        </w:rPr>
      </w:pPr>
    </w:p>
    <w:p>
      <w:pPr>
        <w:pStyle w:val="8"/>
        <w:jc w:val="center"/>
        <w:rPr>
          <w:b/>
          <w:bCs/>
          <w:color w:val="auto"/>
          <w:sz w:val="24"/>
          <w:highlight w:val="none"/>
        </w:rPr>
      </w:pPr>
      <w:bookmarkStart w:id="3170" w:name="_Toc426496271"/>
      <w:bookmarkStart w:id="3171" w:name="_Toc29840"/>
      <w:bookmarkStart w:id="3172" w:name="_Toc7390"/>
      <w:bookmarkStart w:id="3173" w:name="_Toc586354790"/>
      <w:bookmarkStart w:id="3174" w:name="_Toc16585"/>
      <w:bookmarkStart w:id="3175" w:name="_Toc1091"/>
      <w:bookmarkStart w:id="3176" w:name="_Toc429598797"/>
      <w:bookmarkStart w:id="3177" w:name="_Toc29905"/>
    </w:p>
    <w:p>
      <w:pPr>
        <w:pStyle w:val="8"/>
        <w:jc w:val="center"/>
        <w:rPr>
          <w:b/>
          <w:bCs/>
          <w:color w:val="auto"/>
          <w:sz w:val="24"/>
          <w:highlight w:val="none"/>
        </w:rPr>
      </w:pPr>
    </w:p>
    <w:p>
      <w:pPr>
        <w:pStyle w:val="8"/>
        <w:jc w:val="center"/>
        <w:rPr>
          <w:b/>
          <w:bCs/>
          <w:color w:val="auto"/>
          <w:sz w:val="24"/>
          <w:highlight w:val="none"/>
        </w:rPr>
      </w:pPr>
    </w:p>
    <w:p>
      <w:pPr>
        <w:pStyle w:val="8"/>
        <w:jc w:val="center"/>
        <w:rPr>
          <w:b/>
          <w:bCs/>
          <w:color w:val="auto"/>
          <w:sz w:val="24"/>
          <w:highlight w:val="none"/>
        </w:rPr>
      </w:pPr>
    </w:p>
    <w:p>
      <w:pPr>
        <w:pStyle w:val="8"/>
        <w:jc w:val="center"/>
        <w:rPr>
          <w:b/>
          <w:bCs/>
          <w:color w:val="auto"/>
          <w:sz w:val="24"/>
          <w:highlight w:val="none"/>
        </w:rPr>
      </w:pPr>
      <w:r>
        <w:rPr>
          <w:rFonts w:hint="eastAsia"/>
          <w:b/>
          <w:bCs/>
          <w:color w:val="auto"/>
          <w:sz w:val="24"/>
          <w:highlight w:val="none"/>
          <w:lang w:val="en-US" w:eastAsia="zh-CN"/>
        </w:rPr>
        <w:t>3</w:t>
      </w:r>
      <w:r>
        <w:rPr>
          <w:rFonts w:hint="eastAsia"/>
          <w:b/>
          <w:bCs/>
          <w:color w:val="auto"/>
          <w:sz w:val="24"/>
          <w:highlight w:val="none"/>
        </w:rPr>
        <w:t>-2 近3年发生的诉讼和仲裁情况</w:t>
      </w:r>
      <w:bookmarkEnd w:id="3170"/>
      <w:r>
        <w:rPr>
          <w:rFonts w:hint="eastAsia"/>
          <w:b/>
          <w:bCs/>
          <w:color w:val="auto"/>
          <w:sz w:val="24"/>
          <w:highlight w:val="none"/>
        </w:rPr>
        <w:t>表</w:t>
      </w:r>
      <w:bookmarkEnd w:id="3171"/>
      <w:bookmarkEnd w:id="3172"/>
      <w:bookmarkEnd w:id="3173"/>
      <w:bookmarkEnd w:id="3174"/>
      <w:bookmarkEnd w:id="3175"/>
      <w:bookmarkEnd w:id="3176"/>
      <w:bookmarkEnd w:id="3177"/>
    </w:p>
    <w:p>
      <w:pPr>
        <w:spacing w:beforeLines="50" w:afterLines="100" w:line="440" w:lineRule="exact"/>
        <w:rPr>
          <w:rFonts w:ascii="黑体" w:hAnsi="宋体" w:eastAsia="黑体"/>
          <w:color w:val="auto"/>
          <w:sz w:val="24"/>
          <w:highlight w:val="none"/>
        </w:rPr>
      </w:pPr>
    </w:p>
    <w:tbl>
      <w:tblPr>
        <w:tblStyle w:val="28"/>
        <w:tblW w:w="872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54"/>
        <w:gridCol w:w="954"/>
        <w:gridCol w:w="1260"/>
        <w:gridCol w:w="3600"/>
        <w:gridCol w:w="19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54" w:type="dxa"/>
            <w:vAlign w:val="center"/>
          </w:tcPr>
          <w:p>
            <w:pPr>
              <w:jc w:val="center"/>
              <w:rPr>
                <w:rFonts w:ascii="宋体" w:hAnsi="宋体"/>
                <w:color w:val="auto"/>
                <w:szCs w:val="21"/>
                <w:highlight w:val="none"/>
              </w:rPr>
            </w:pPr>
            <w:r>
              <w:rPr>
                <w:rFonts w:hint="eastAsia" w:ascii="宋体" w:hAnsi="宋体"/>
                <w:color w:val="auto"/>
                <w:szCs w:val="21"/>
                <w:highlight w:val="none"/>
              </w:rPr>
              <w:t>类别</w:t>
            </w:r>
          </w:p>
        </w:tc>
        <w:tc>
          <w:tcPr>
            <w:tcW w:w="954" w:type="dxa"/>
            <w:vAlign w:val="center"/>
          </w:tcPr>
          <w:p>
            <w:pPr>
              <w:jc w:val="center"/>
              <w:rPr>
                <w:rFonts w:ascii="宋体" w:hAnsi="宋体"/>
                <w:color w:val="auto"/>
                <w:szCs w:val="21"/>
                <w:highlight w:val="none"/>
              </w:rPr>
            </w:pPr>
            <w:r>
              <w:rPr>
                <w:rFonts w:hint="eastAsia" w:ascii="宋体" w:hAnsi="宋体"/>
                <w:color w:val="auto"/>
                <w:szCs w:val="21"/>
                <w:highlight w:val="none"/>
              </w:rPr>
              <w:t>序号</w:t>
            </w:r>
          </w:p>
        </w:tc>
        <w:tc>
          <w:tcPr>
            <w:tcW w:w="1260" w:type="dxa"/>
            <w:vAlign w:val="center"/>
          </w:tcPr>
          <w:p>
            <w:pPr>
              <w:jc w:val="center"/>
              <w:rPr>
                <w:rFonts w:ascii="宋体" w:hAnsi="宋体"/>
                <w:color w:val="auto"/>
                <w:szCs w:val="21"/>
                <w:highlight w:val="none"/>
              </w:rPr>
            </w:pPr>
            <w:r>
              <w:rPr>
                <w:rFonts w:hint="eastAsia" w:ascii="宋体" w:hAnsi="宋体"/>
                <w:color w:val="auto"/>
                <w:szCs w:val="21"/>
                <w:highlight w:val="none"/>
              </w:rPr>
              <w:t>发生时间</w:t>
            </w:r>
          </w:p>
        </w:tc>
        <w:tc>
          <w:tcPr>
            <w:tcW w:w="3600" w:type="dxa"/>
            <w:vAlign w:val="center"/>
          </w:tcPr>
          <w:p>
            <w:pPr>
              <w:jc w:val="center"/>
              <w:rPr>
                <w:rFonts w:ascii="宋体" w:hAnsi="宋体"/>
                <w:color w:val="auto"/>
                <w:szCs w:val="21"/>
                <w:highlight w:val="none"/>
              </w:rPr>
            </w:pPr>
            <w:r>
              <w:rPr>
                <w:rFonts w:hint="eastAsia" w:ascii="宋体" w:hAnsi="宋体"/>
                <w:color w:val="auto"/>
                <w:szCs w:val="21"/>
                <w:highlight w:val="none"/>
              </w:rPr>
              <w:t>情况简介</w:t>
            </w:r>
          </w:p>
        </w:tc>
        <w:tc>
          <w:tcPr>
            <w:tcW w:w="1952" w:type="dxa"/>
            <w:vAlign w:val="center"/>
          </w:tcPr>
          <w:p>
            <w:pPr>
              <w:jc w:val="center"/>
              <w:rPr>
                <w:rFonts w:ascii="宋体" w:hAnsi="宋体"/>
                <w:color w:val="auto"/>
                <w:szCs w:val="21"/>
                <w:highlight w:val="none"/>
              </w:rPr>
            </w:pPr>
            <w:r>
              <w:rPr>
                <w:rFonts w:hint="eastAsia" w:ascii="宋体" w:hAnsi="宋体"/>
                <w:color w:val="auto"/>
                <w:szCs w:val="21"/>
                <w:highlight w:val="none"/>
              </w:rPr>
              <w:t>证明材料索引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60" w:hRule="atLeast"/>
        </w:trPr>
        <w:tc>
          <w:tcPr>
            <w:tcW w:w="954" w:type="dxa"/>
            <w:vMerge w:val="restart"/>
            <w:vAlign w:val="center"/>
          </w:tcPr>
          <w:p>
            <w:pPr>
              <w:spacing w:line="240" w:lineRule="exact"/>
              <w:jc w:val="center"/>
              <w:rPr>
                <w:rFonts w:ascii="宋体" w:hAnsi="宋体"/>
                <w:color w:val="auto"/>
                <w:szCs w:val="21"/>
                <w:highlight w:val="none"/>
              </w:rPr>
            </w:pPr>
            <w:r>
              <w:rPr>
                <w:rFonts w:hint="eastAsia" w:ascii="宋体" w:hAnsi="宋体"/>
                <w:color w:val="auto"/>
                <w:szCs w:val="21"/>
                <w:highlight w:val="none"/>
              </w:rPr>
              <w:t>诉</w:t>
            </w:r>
          </w:p>
          <w:p>
            <w:pPr>
              <w:spacing w:line="240" w:lineRule="exact"/>
              <w:jc w:val="center"/>
              <w:rPr>
                <w:rFonts w:ascii="宋体" w:hAnsi="宋体"/>
                <w:color w:val="auto"/>
                <w:szCs w:val="21"/>
                <w:highlight w:val="none"/>
              </w:rPr>
            </w:pPr>
            <w:r>
              <w:rPr>
                <w:rFonts w:hint="eastAsia" w:ascii="宋体" w:hAnsi="宋体"/>
                <w:color w:val="auto"/>
                <w:szCs w:val="21"/>
                <w:highlight w:val="none"/>
              </w:rPr>
              <w:t>讼</w:t>
            </w:r>
          </w:p>
          <w:p>
            <w:pPr>
              <w:spacing w:line="240" w:lineRule="exact"/>
              <w:jc w:val="center"/>
              <w:rPr>
                <w:rFonts w:ascii="宋体" w:hAnsi="宋体"/>
                <w:color w:val="auto"/>
                <w:szCs w:val="21"/>
                <w:highlight w:val="none"/>
              </w:rPr>
            </w:pPr>
            <w:r>
              <w:rPr>
                <w:rFonts w:hint="eastAsia" w:ascii="宋体" w:hAnsi="宋体"/>
                <w:color w:val="auto"/>
                <w:szCs w:val="21"/>
                <w:highlight w:val="none"/>
              </w:rPr>
              <w:t>情</w:t>
            </w:r>
          </w:p>
          <w:p>
            <w:pPr>
              <w:spacing w:line="240" w:lineRule="exact"/>
              <w:jc w:val="center"/>
              <w:rPr>
                <w:rFonts w:ascii="宋体" w:hAnsi="宋体"/>
                <w:color w:val="auto"/>
                <w:szCs w:val="21"/>
                <w:highlight w:val="none"/>
              </w:rPr>
            </w:pPr>
            <w:r>
              <w:rPr>
                <w:rFonts w:hint="eastAsia" w:ascii="宋体" w:hAnsi="宋体"/>
                <w:color w:val="auto"/>
                <w:szCs w:val="21"/>
                <w:highlight w:val="none"/>
              </w:rPr>
              <w:t>况</w:t>
            </w:r>
          </w:p>
        </w:tc>
        <w:tc>
          <w:tcPr>
            <w:tcW w:w="954" w:type="dxa"/>
            <w:vAlign w:val="center"/>
          </w:tcPr>
          <w:p>
            <w:pPr>
              <w:jc w:val="center"/>
              <w:rPr>
                <w:rFonts w:ascii="宋体" w:hAnsi="宋体"/>
                <w:color w:val="auto"/>
                <w:szCs w:val="21"/>
                <w:highlight w:val="none"/>
              </w:rPr>
            </w:pPr>
          </w:p>
        </w:tc>
        <w:tc>
          <w:tcPr>
            <w:tcW w:w="1260" w:type="dxa"/>
            <w:vAlign w:val="center"/>
          </w:tcPr>
          <w:p>
            <w:pPr>
              <w:jc w:val="center"/>
              <w:rPr>
                <w:rFonts w:ascii="宋体" w:hAnsi="宋体"/>
                <w:color w:val="auto"/>
                <w:szCs w:val="21"/>
                <w:highlight w:val="none"/>
              </w:rPr>
            </w:pPr>
          </w:p>
        </w:tc>
        <w:tc>
          <w:tcPr>
            <w:tcW w:w="3600" w:type="dxa"/>
            <w:vAlign w:val="center"/>
          </w:tcPr>
          <w:p>
            <w:pPr>
              <w:jc w:val="center"/>
              <w:rPr>
                <w:rFonts w:ascii="宋体" w:hAnsi="宋体"/>
                <w:color w:val="auto"/>
                <w:szCs w:val="21"/>
                <w:highlight w:val="none"/>
              </w:rPr>
            </w:pPr>
          </w:p>
        </w:tc>
        <w:tc>
          <w:tcPr>
            <w:tcW w:w="1952" w:type="dxa"/>
            <w:vAlign w:val="center"/>
          </w:tcPr>
          <w:p>
            <w:pPr>
              <w:jc w:val="center"/>
              <w:rPr>
                <w:rFonts w:ascii="宋体" w:hAnsi="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60" w:hRule="atLeast"/>
        </w:trPr>
        <w:tc>
          <w:tcPr>
            <w:tcW w:w="954" w:type="dxa"/>
            <w:vMerge w:val="continue"/>
            <w:vAlign w:val="center"/>
          </w:tcPr>
          <w:p>
            <w:pPr>
              <w:jc w:val="center"/>
              <w:rPr>
                <w:rFonts w:ascii="宋体" w:hAnsi="宋体"/>
                <w:color w:val="auto"/>
                <w:szCs w:val="21"/>
                <w:highlight w:val="none"/>
              </w:rPr>
            </w:pPr>
          </w:p>
        </w:tc>
        <w:tc>
          <w:tcPr>
            <w:tcW w:w="954" w:type="dxa"/>
            <w:vAlign w:val="center"/>
          </w:tcPr>
          <w:p>
            <w:pPr>
              <w:jc w:val="center"/>
              <w:rPr>
                <w:rFonts w:ascii="宋体" w:hAnsi="宋体"/>
                <w:color w:val="auto"/>
                <w:szCs w:val="21"/>
                <w:highlight w:val="none"/>
              </w:rPr>
            </w:pPr>
          </w:p>
        </w:tc>
        <w:tc>
          <w:tcPr>
            <w:tcW w:w="1260" w:type="dxa"/>
            <w:vAlign w:val="center"/>
          </w:tcPr>
          <w:p>
            <w:pPr>
              <w:jc w:val="center"/>
              <w:rPr>
                <w:rFonts w:ascii="宋体" w:hAnsi="宋体"/>
                <w:color w:val="auto"/>
                <w:szCs w:val="21"/>
                <w:highlight w:val="none"/>
              </w:rPr>
            </w:pPr>
          </w:p>
        </w:tc>
        <w:tc>
          <w:tcPr>
            <w:tcW w:w="3600" w:type="dxa"/>
            <w:vAlign w:val="center"/>
          </w:tcPr>
          <w:p>
            <w:pPr>
              <w:jc w:val="center"/>
              <w:rPr>
                <w:rFonts w:ascii="宋体" w:hAnsi="宋体"/>
                <w:color w:val="auto"/>
                <w:szCs w:val="21"/>
                <w:highlight w:val="none"/>
              </w:rPr>
            </w:pPr>
          </w:p>
        </w:tc>
        <w:tc>
          <w:tcPr>
            <w:tcW w:w="1952" w:type="dxa"/>
            <w:vAlign w:val="center"/>
          </w:tcPr>
          <w:p>
            <w:pPr>
              <w:jc w:val="center"/>
              <w:rPr>
                <w:rFonts w:ascii="宋体" w:hAnsi="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60" w:hRule="atLeast"/>
        </w:trPr>
        <w:tc>
          <w:tcPr>
            <w:tcW w:w="954" w:type="dxa"/>
            <w:vMerge w:val="continue"/>
            <w:vAlign w:val="center"/>
          </w:tcPr>
          <w:p>
            <w:pPr>
              <w:jc w:val="center"/>
              <w:rPr>
                <w:rFonts w:ascii="宋体" w:hAnsi="宋体"/>
                <w:color w:val="auto"/>
                <w:szCs w:val="21"/>
                <w:highlight w:val="none"/>
              </w:rPr>
            </w:pPr>
          </w:p>
        </w:tc>
        <w:tc>
          <w:tcPr>
            <w:tcW w:w="954" w:type="dxa"/>
            <w:vAlign w:val="center"/>
          </w:tcPr>
          <w:p>
            <w:pPr>
              <w:jc w:val="center"/>
              <w:rPr>
                <w:rFonts w:ascii="宋体" w:hAnsi="宋体"/>
                <w:color w:val="auto"/>
                <w:szCs w:val="21"/>
                <w:highlight w:val="none"/>
              </w:rPr>
            </w:pPr>
          </w:p>
        </w:tc>
        <w:tc>
          <w:tcPr>
            <w:tcW w:w="1260" w:type="dxa"/>
            <w:vAlign w:val="center"/>
          </w:tcPr>
          <w:p>
            <w:pPr>
              <w:jc w:val="center"/>
              <w:rPr>
                <w:rFonts w:ascii="宋体" w:hAnsi="宋体"/>
                <w:color w:val="auto"/>
                <w:szCs w:val="21"/>
                <w:highlight w:val="none"/>
              </w:rPr>
            </w:pPr>
          </w:p>
        </w:tc>
        <w:tc>
          <w:tcPr>
            <w:tcW w:w="3600" w:type="dxa"/>
            <w:vAlign w:val="center"/>
          </w:tcPr>
          <w:p>
            <w:pPr>
              <w:jc w:val="center"/>
              <w:rPr>
                <w:rFonts w:ascii="宋体" w:hAnsi="宋体"/>
                <w:color w:val="auto"/>
                <w:szCs w:val="21"/>
                <w:highlight w:val="none"/>
              </w:rPr>
            </w:pPr>
          </w:p>
        </w:tc>
        <w:tc>
          <w:tcPr>
            <w:tcW w:w="1952" w:type="dxa"/>
            <w:vAlign w:val="center"/>
          </w:tcPr>
          <w:p>
            <w:pPr>
              <w:jc w:val="center"/>
              <w:rPr>
                <w:rFonts w:ascii="宋体" w:hAnsi="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60" w:hRule="atLeast"/>
        </w:trPr>
        <w:tc>
          <w:tcPr>
            <w:tcW w:w="954" w:type="dxa"/>
            <w:vMerge w:val="restart"/>
            <w:vAlign w:val="center"/>
          </w:tcPr>
          <w:p>
            <w:pPr>
              <w:spacing w:line="240" w:lineRule="exact"/>
              <w:jc w:val="center"/>
              <w:rPr>
                <w:rFonts w:ascii="宋体" w:hAnsi="宋体"/>
                <w:color w:val="auto"/>
                <w:szCs w:val="21"/>
                <w:highlight w:val="none"/>
              </w:rPr>
            </w:pPr>
            <w:r>
              <w:rPr>
                <w:rFonts w:hint="eastAsia" w:ascii="宋体" w:hAnsi="宋体"/>
                <w:color w:val="auto"/>
                <w:szCs w:val="21"/>
                <w:highlight w:val="none"/>
              </w:rPr>
              <w:t>仲</w:t>
            </w:r>
          </w:p>
          <w:p>
            <w:pPr>
              <w:spacing w:line="240" w:lineRule="exact"/>
              <w:jc w:val="center"/>
              <w:rPr>
                <w:rFonts w:ascii="宋体" w:hAnsi="宋体"/>
                <w:color w:val="auto"/>
                <w:szCs w:val="21"/>
                <w:highlight w:val="none"/>
              </w:rPr>
            </w:pPr>
            <w:r>
              <w:rPr>
                <w:rFonts w:hint="eastAsia" w:ascii="宋体" w:hAnsi="宋体"/>
                <w:color w:val="auto"/>
                <w:szCs w:val="21"/>
                <w:highlight w:val="none"/>
              </w:rPr>
              <w:t>裁</w:t>
            </w:r>
          </w:p>
          <w:p>
            <w:pPr>
              <w:spacing w:line="240" w:lineRule="exact"/>
              <w:jc w:val="center"/>
              <w:rPr>
                <w:rFonts w:ascii="宋体" w:hAnsi="宋体"/>
                <w:color w:val="auto"/>
                <w:szCs w:val="21"/>
                <w:highlight w:val="none"/>
              </w:rPr>
            </w:pPr>
            <w:r>
              <w:rPr>
                <w:rFonts w:hint="eastAsia" w:ascii="宋体" w:hAnsi="宋体"/>
                <w:color w:val="auto"/>
                <w:szCs w:val="21"/>
                <w:highlight w:val="none"/>
              </w:rPr>
              <w:t>情</w:t>
            </w:r>
          </w:p>
          <w:p>
            <w:pPr>
              <w:spacing w:line="240" w:lineRule="exact"/>
              <w:jc w:val="center"/>
              <w:rPr>
                <w:rFonts w:ascii="宋体" w:hAnsi="宋体"/>
                <w:color w:val="auto"/>
                <w:szCs w:val="21"/>
                <w:highlight w:val="none"/>
              </w:rPr>
            </w:pPr>
            <w:r>
              <w:rPr>
                <w:rFonts w:hint="eastAsia" w:ascii="宋体" w:hAnsi="宋体"/>
                <w:color w:val="auto"/>
                <w:szCs w:val="21"/>
                <w:highlight w:val="none"/>
              </w:rPr>
              <w:t>况</w:t>
            </w:r>
          </w:p>
        </w:tc>
        <w:tc>
          <w:tcPr>
            <w:tcW w:w="954" w:type="dxa"/>
            <w:vAlign w:val="center"/>
          </w:tcPr>
          <w:p>
            <w:pPr>
              <w:jc w:val="center"/>
              <w:rPr>
                <w:rFonts w:ascii="宋体" w:hAnsi="宋体"/>
                <w:color w:val="auto"/>
                <w:szCs w:val="21"/>
                <w:highlight w:val="none"/>
              </w:rPr>
            </w:pPr>
          </w:p>
        </w:tc>
        <w:tc>
          <w:tcPr>
            <w:tcW w:w="1260" w:type="dxa"/>
            <w:vAlign w:val="center"/>
          </w:tcPr>
          <w:p>
            <w:pPr>
              <w:jc w:val="center"/>
              <w:rPr>
                <w:rFonts w:ascii="宋体" w:hAnsi="宋体"/>
                <w:color w:val="auto"/>
                <w:szCs w:val="21"/>
                <w:highlight w:val="none"/>
              </w:rPr>
            </w:pPr>
          </w:p>
        </w:tc>
        <w:tc>
          <w:tcPr>
            <w:tcW w:w="3600" w:type="dxa"/>
            <w:vAlign w:val="center"/>
          </w:tcPr>
          <w:p>
            <w:pPr>
              <w:jc w:val="center"/>
              <w:rPr>
                <w:rFonts w:ascii="宋体" w:hAnsi="宋体"/>
                <w:color w:val="auto"/>
                <w:szCs w:val="21"/>
                <w:highlight w:val="none"/>
              </w:rPr>
            </w:pPr>
          </w:p>
        </w:tc>
        <w:tc>
          <w:tcPr>
            <w:tcW w:w="1952" w:type="dxa"/>
            <w:vAlign w:val="center"/>
          </w:tcPr>
          <w:p>
            <w:pPr>
              <w:jc w:val="center"/>
              <w:rPr>
                <w:rFonts w:ascii="宋体" w:hAnsi="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60" w:hRule="atLeast"/>
        </w:trPr>
        <w:tc>
          <w:tcPr>
            <w:tcW w:w="954" w:type="dxa"/>
            <w:vMerge w:val="continue"/>
            <w:vAlign w:val="center"/>
          </w:tcPr>
          <w:p>
            <w:pPr>
              <w:jc w:val="center"/>
              <w:rPr>
                <w:rFonts w:ascii="宋体" w:hAnsi="宋体"/>
                <w:color w:val="auto"/>
                <w:szCs w:val="21"/>
                <w:highlight w:val="none"/>
              </w:rPr>
            </w:pPr>
          </w:p>
        </w:tc>
        <w:tc>
          <w:tcPr>
            <w:tcW w:w="954" w:type="dxa"/>
            <w:vAlign w:val="center"/>
          </w:tcPr>
          <w:p>
            <w:pPr>
              <w:jc w:val="center"/>
              <w:rPr>
                <w:rFonts w:ascii="宋体" w:hAnsi="宋体"/>
                <w:color w:val="auto"/>
                <w:szCs w:val="21"/>
                <w:highlight w:val="none"/>
              </w:rPr>
            </w:pPr>
          </w:p>
        </w:tc>
        <w:tc>
          <w:tcPr>
            <w:tcW w:w="1260" w:type="dxa"/>
            <w:vAlign w:val="center"/>
          </w:tcPr>
          <w:p>
            <w:pPr>
              <w:jc w:val="center"/>
              <w:rPr>
                <w:rFonts w:ascii="宋体" w:hAnsi="宋体"/>
                <w:color w:val="auto"/>
                <w:szCs w:val="21"/>
                <w:highlight w:val="none"/>
              </w:rPr>
            </w:pPr>
          </w:p>
        </w:tc>
        <w:tc>
          <w:tcPr>
            <w:tcW w:w="3600" w:type="dxa"/>
            <w:vAlign w:val="center"/>
          </w:tcPr>
          <w:p>
            <w:pPr>
              <w:jc w:val="center"/>
              <w:rPr>
                <w:rFonts w:ascii="宋体" w:hAnsi="宋体"/>
                <w:color w:val="auto"/>
                <w:szCs w:val="21"/>
                <w:highlight w:val="none"/>
              </w:rPr>
            </w:pPr>
          </w:p>
        </w:tc>
        <w:tc>
          <w:tcPr>
            <w:tcW w:w="1952" w:type="dxa"/>
            <w:vAlign w:val="center"/>
          </w:tcPr>
          <w:p>
            <w:pPr>
              <w:jc w:val="center"/>
              <w:rPr>
                <w:rFonts w:ascii="宋体" w:hAnsi="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60" w:hRule="atLeast"/>
        </w:trPr>
        <w:tc>
          <w:tcPr>
            <w:tcW w:w="954" w:type="dxa"/>
            <w:vMerge w:val="continue"/>
            <w:vAlign w:val="center"/>
          </w:tcPr>
          <w:p>
            <w:pPr>
              <w:jc w:val="center"/>
              <w:rPr>
                <w:rFonts w:ascii="宋体" w:hAnsi="宋体"/>
                <w:color w:val="auto"/>
                <w:szCs w:val="21"/>
                <w:highlight w:val="none"/>
              </w:rPr>
            </w:pPr>
          </w:p>
        </w:tc>
        <w:tc>
          <w:tcPr>
            <w:tcW w:w="954" w:type="dxa"/>
            <w:vAlign w:val="center"/>
          </w:tcPr>
          <w:p>
            <w:pPr>
              <w:jc w:val="center"/>
              <w:rPr>
                <w:rFonts w:ascii="宋体" w:hAnsi="宋体"/>
                <w:color w:val="auto"/>
                <w:szCs w:val="21"/>
                <w:highlight w:val="none"/>
              </w:rPr>
            </w:pPr>
          </w:p>
        </w:tc>
        <w:tc>
          <w:tcPr>
            <w:tcW w:w="1260" w:type="dxa"/>
            <w:vAlign w:val="center"/>
          </w:tcPr>
          <w:p>
            <w:pPr>
              <w:jc w:val="center"/>
              <w:rPr>
                <w:rFonts w:ascii="宋体" w:hAnsi="宋体"/>
                <w:color w:val="auto"/>
                <w:szCs w:val="21"/>
                <w:highlight w:val="none"/>
              </w:rPr>
            </w:pPr>
          </w:p>
        </w:tc>
        <w:tc>
          <w:tcPr>
            <w:tcW w:w="3600" w:type="dxa"/>
            <w:vAlign w:val="center"/>
          </w:tcPr>
          <w:p>
            <w:pPr>
              <w:jc w:val="center"/>
              <w:rPr>
                <w:rFonts w:ascii="宋体" w:hAnsi="宋体"/>
                <w:color w:val="auto"/>
                <w:szCs w:val="21"/>
                <w:highlight w:val="none"/>
              </w:rPr>
            </w:pPr>
          </w:p>
        </w:tc>
        <w:tc>
          <w:tcPr>
            <w:tcW w:w="1952" w:type="dxa"/>
            <w:vAlign w:val="center"/>
          </w:tcPr>
          <w:p>
            <w:pPr>
              <w:jc w:val="center"/>
              <w:rPr>
                <w:rFonts w:ascii="宋体" w:hAnsi="宋体"/>
                <w:color w:val="auto"/>
                <w:szCs w:val="21"/>
                <w:highlight w:val="none"/>
              </w:rPr>
            </w:pPr>
          </w:p>
        </w:tc>
      </w:tr>
    </w:tbl>
    <w:p>
      <w:pPr>
        <w:spacing w:line="400" w:lineRule="exact"/>
        <w:ind w:left="840" w:hanging="840" w:hangingChars="400"/>
        <w:rPr>
          <w:rFonts w:ascii="宋体" w:hAnsi="宋体"/>
          <w:color w:val="auto"/>
          <w:szCs w:val="21"/>
          <w:highlight w:val="none"/>
        </w:rPr>
      </w:pPr>
      <w:r>
        <w:rPr>
          <w:rFonts w:hint="eastAsia" w:ascii="宋体" w:hAnsi="宋体"/>
          <w:color w:val="auto"/>
          <w:szCs w:val="21"/>
          <w:highlight w:val="none"/>
        </w:rPr>
        <w:t>备注：</w:t>
      </w:r>
      <w:r>
        <w:rPr>
          <w:rFonts w:hint="eastAsia"/>
          <w:color w:val="auto"/>
          <w:szCs w:val="21"/>
          <w:highlight w:val="none"/>
        </w:rPr>
        <w:t>1</w:t>
      </w:r>
      <w:r>
        <w:rPr>
          <w:rFonts w:hint="eastAsia" w:ascii="宋体" w:hAnsi="宋体"/>
          <w:color w:val="auto"/>
          <w:szCs w:val="21"/>
          <w:highlight w:val="none"/>
        </w:rPr>
        <w:t>.近</w:t>
      </w:r>
      <w:r>
        <w:rPr>
          <w:rFonts w:hint="eastAsia"/>
          <w:color w:val="auto"/>
          <w:szCs w:val="21"/>
          <w:highlight w:val="none"/>
        </w:rPr>
        <w:t>3</w:t>
      </w:r>
      <w:r>
        <w:rPr>
          <w:rFonts w:hint="eastAsia" w:ascii="宋体" w:hAnsi="宋体"/>
          <w:color w:val="auto"/>
          <w:szCs w:val="21"/>
          <w:highlight w:val="none"/>
        </w:rPr>
        <w:t>年发生的诉讼和仲裁情况仅限于投标人败诉的，且与签订或履行施工承包合同有关的案件，不包括调解结案以及未终审判决的诉讼或未裁决的仲裁。附法院或仲裁机构作出的判</w:t>
      </w:r>
      <w:r>
        <w:rPr>
          <w:rFonts w:hint="eastAsia"/>
          <w:color w:val="auto"/>
          <w:szCs w:val="21"/>
          <w:highlight w:val="none"/>
        </w:rPr>
        <w:t>决或裁决等有关法律文书的</w:t>
      </w:r>
      <w:r>
        <w:rPr>
          <w:rFonts w:hint="eastAsia"/>
          <w:color w:val="auto"/>
          <w:highlight w:val="none"/>
        </w:rPr>
        <w:t>扫描件</w:t>
      </w:r>
      <w:r>
        <w:rPr>
          <w:rFonts w:hint="eastAsia"/>
          <w:color w:val="auto"/>
          <w:szCs w:val="21"/>
          <w:highlight w:val="none"/>
        </w:rPr>
        <w:t>。</w:t>
      </w:r>
    </w:p>
    <w:p>
      <w:pPr>
        <w:spacing w:line="400" w:lineRule="exact"/>
        <w:ind w:left="840" w:leftChars="300" w:hanging="210" w:hangingChars="100"/>
        <w:rPr>
          <w:rFonts w:ascii="宋体" w:hAnsi="宋体"/>
          <w:color w:val="auto"/>
          <w:szCs w:val="21"/>
          <w:highlight w:val="none"/>
        </w:rPr>
      </w:pPr>
      <w:r>
        <w:rPr>
          <w:rFonts w:hint="eastAsia"/>
          <w:color w:val="auto"/>
          <w:szCs w:val="21"/>
          <w:highlight w:val="none"/>
        </w:rPr>
        <w:t>2. 近3年是指从</w:t>
      </w:r>
      <w:r>
        <w:rPr>
          <w:rFonts w:hint="eastAsia" w:ascii="宋体" w:hAnsi="宋体"/>
          <w:color w:val="auto"/>
          <w:szCs w:val="21"/>
          <w:highlight w:val="none"/>
        </w:rPr>
        <w:t>投标截止日</w:t>
      </w:r>
      <w:r>
        <w:rPr>
          <w:rFonts w:hint="eastAsia"/>
          <w:color w:val="auto"/>
          <w:szCs w:val="21"/>
          <w:highlight w:val="none"/>
        </w:rPr>
        <w:t>往前推算3年</w:t>
      </w:r>
      <w:r>
        <w:rPr>
          <w:rFonts w:hint="eastAsia" w:ascii="宋体" w:hAnsi="宋体"/>
          <w:color w:val="auto"/>
          <w:szCs w:val="21"/>
          <w:highlight w:val="none"/>
        </w:rPr>
        <w:t>，例如投标截止日为</w:t>
      </w:r>
      <w:r>
        <w:rPr>
          <w:rFonts w:hint="eastAsia"/>
          <w:color w:val="auto"/>
          <w:szCs w:val="21"/>
          <w:highlight w:val="none"/>
        </w:rPr>
        <w:t>2022</w:t>
      </w:r>
      <w:r>
        <w:rPr>
          <w:rFonts w:hint="eastAsia" w:ascii="宋体" w:hAnsi="宋体"/>
          <w:color w:val="auto"/>
          <w:szCs w:val="21"/>
          <w:highlight w:val="none"/>
        </w:rPr>
        <w:t>年</w:t>
      </w:r>
      <w:r>
        <w:rPr>
          <w:rFonts w:hint="eastAsia"/>
          <w:color w:val="auto"/>
          <w:szCs w:val="21"/>
          <w:highlight w:val="none"/>
        </w:rPr>
        <w:t>9</w:t>
      </w:r>
      <w:r>
        <w:rPr>
          <w:rFonts w:hint="eastAsia" w:ascii="宋体" w:hAnsi="宋体"/>
          <w:color w:val="auto"/>
          <w:szCs w:val="21"/>
          <w:highlight w:val="none"/>
        </w:rPr>
        <w:t>月</w:t>
      </w:r>
      <w:r>
        <w:rPr>
          <w:rFonts w:hint="eastAsia"/>
          <w:color w:val="auto"/>
          <w:szCs w:val="21"/>
          <w:highlight w:val="none"/>
        </w:rPr>
        <w:t>5</w:t>
      </w:r>
      <w:r>
        <w:rPr>
          <w:rFonts w:hint="eastAsia" w:ascii="宋体" w:hAnsi="宋体"/>
          <w:color w:val="auto"/>
          <w:szCs w:val="21"/>
          <w:highlight w:val="none"/>
        </w:rPr>
        <w:t>日，则近</w:t>
      </w:r>
      <w:r>
        <w:rPr>
          <w:rFonts w:hint="eastAsia"/>
          <w:color w:val="auto"/>
          <w:szCs w:val="21"/>
          <w:highlight w:val="none"/>
        </w:rPr>
        <w:t>3</w:t>
      </w:r>
      <w:r>
        <w:rPr>
          <w:rFonts w:hint="eastAsia" w:ascii="宋体" w:hAnsi="宋体"/>
          <w:color w:val="auto"/>
          <w:szCs w:val="21"/>
          <w:highlight w:val="none"/>
        </w:rPr>
        <w:t>年是指</w:t>
      </w:r>
      <w:r>
        <w:rPr>
          <w:rFonts w:hint="eastAsia"/>
          <w:color w:val="auto"/>
          <w:szCs w:val="21"/>
          <w:highlight w:val="none"/>
        </w:rPr>
        <w:t>2019</w:t>
      </w:r>
      <w:r>
        <w:rPr>
          <w:rFonts w:hint="eastAsia" w:ascii="宋体" w:hAnsi="宋体"/>
          <w:color w:val="auto"/>
          <w:szCs w:val="21"/>
          <w:highlight w:val="none"/>
        </w:rPr>
        <w:t>年</w:t>
      </w:r>
      <w:r>
        <w:rPr>
          <w:rFonts w:hint="eastAsia"/>
          <w:color w:val="auto"/>
          <w:szCs w:val="21"/>
          <w:highlight w:val="none"/>
        </w:rPr>
        <w:t>9</w:t>
      </w:r>
      <w:r>
        <w:rPr>
          <w:rFonts w:hint="eastAsia" w:ascii="宋体" w:hAnsi="宋体"/>
          <w:color w:val="auto"/>
          <w:szCs w:val="21"/>
          <w:highlight w:val="none"/>
        </w:rPr>
        <w:t>月</w:t>
      </w:r>
      <w:r>
        <w:rPr>
          <w:rFonts w:hint="eastAsia"/>
          <w:color w:val="auto"/>
          <w:szCs w:val="21"/>
          <w:highlight w:val="none"/>
        </w:rPr>
        <w:t>5</w:t>
      </w:r>
      <w:r>
        <w:rPr>
          <w:rFonts w:hint="eastAsia" w:ascii="宋体" w:hAnsi="宋体"/>
          <w:color w:val="auto"/>
          <w:szCs w:val="21"/>
          <w:highlight w:val="none"/>
        </w:rPr>
        <w:t>日至</w:t>
      </w:r>
      <w:r>
        <w:rPr>
          <w:rFonts w:hint="eastAsia"/>
          <w:color w:val="auto"/>
          <w:szCs w:val="21"/>
          <w:highlight w:val="none"/>
        </w:rPr>
        <w:t>2022</w:t>
      </w:r>
      <w:r>
        <w:rPr>
          <w:rFonts w:hint="eastAsia" w:ascii="宋体" w:hAnsi="宋体"/>
          <w:color w:val="auto"/>
          <w:szCs w:val="21"/>
          <w:highlight w:val="none"/>
        </w:rPr>
        <w:t>年</w:t>
      </w:r>
      <w:r>
        <w:rPr>
          <w:rFonts w:hint="eastAsia"/>
          <w:color w:val="auto"/>
          <w:szCs w:val="21"/>
          <w:highlight w:val="none"/>
        </w:rPr>
        <w:t>9</w:t>
      </w:r>
      <w:r>
        <w:rPr>
          <w:rFonts w:hint="eastAsia" w:ascii="宋体" w:hAnsi="宋体"/>
          <w:color w:val="auto"/>
          <w:szCs w:val="21"/>
          <w:highlight w:val="none"/>
        </w:rPr>
        <w:t>月</w:t>
      </w:r>
      <w:r>
        <w:rPr>
          <w:rFonts w:hint="eastAsia"/>
          <w:color w:val="auto"/>
          <w:szCs w:val="21"/>
          <w:highlight w:val="none"/>
        </w:rPr>
        <w:t>4</w:t>
      </w:r>
      <w:r>
        <w:rPr>
          <w:rFonts w:hint="eastAsia" w:ascii="宋体" w:hAnsi="宋体"/>
          <w:color w:val="auto"/>
          <w:szCs w:val="21"/>
          <w:highlight w:val="none"/>
        </w:rPr>
        <w:t>日。</w:t>
      </w:r>
      <w:r>
        <w:rPr>
          <w:rFonts w:hint="eastAsia"/>
          <w:color w:val="auto"/>
          <w:szCs w:val="21"/>
          <w:highlight w:val="none"/>
        </w:rPr>
        <w:t>以仲裁裁决或判决书</w:t>
      </w:r>
      <w:r>
        <w:rPr>
          <w:rFonts w:hint="eastAsia" w:ascii="宋体" w:hAnsi="宋体"/>
          <w:color w:val="auto"/>
          <w:szCs w:val="21"/>
          <w:highlight w:val="none"/>
        </w:rPr>
        <w:t>时间</w:t>
      </w:r>
      <w:r>
        <w:rPr>
          <w:rFonts w:ascii="宋体" w:hAnsi="宋体"/>
          <w:color w:val="auto"/>
          <w:szCs w:val="21"/>
          <w:highlight w:val="none"/>
        </w:rPr>
        <w:t>为准</w:t>
      </w:r>
      <w:r>
        <w:rPr>
          <w:rFonts w:hint="eastAsia" w:ascii="宋体" w:hAnsi="宋体"/>
          <w:color w:val="auto"/>
          <w:szCs w:val="21"/>
          <w:highlight w:val="none"/>
        </w:rPr>
        <w:t>。</w:t>
      </w:r>
    </w:p>
    <w:p>
      <w:pPr>
        <w:spacing w:line="400" w:lineRule="exact"/>
        <w:ind w:left="525" w:leftChars="250" w:firstLine="105" w:firstLineChars="50"/>
        <w:rPr>
          <w:color w:val="auto"/>
          <w:szCs w:val="21"/>
          <w:highlight w:val="none"/>
        </w:rPr>
      </w:pPr>
      <w:r>
        <w:rPr>
          <w:rFonts w:hint="eastAsia"/>
          <w:color w:val="auto"/>
          <w:szCs w:val="21"/>
          <w:highlight w:val="none"/>
        </w:rPr>
        <w:t>3. 如联合体投标，联合体各成员单位均应按要求填写本表。</w:t>
      </w:r>
    </w:p>
    <w:p>
      <w:pPr>
        <w:spacing w:line="400" w:lineRule="exact"/>
        <w:ind w:left="840" w:leftChars="300" w:hanging="210" w:hangingChars="100"/>
        <w:rPr>
          <w:color w:val="auto"/>
          <w:szCs w:val="21"/>
          <w:highlight w:val="none"/>
        </w:rPr>
      </w:pPr>
      <w:r>
        <w:rPr>
          <w:rFonts w:hint="eastAsia"/>
          <w:color w:val="auto"/>
          <w:szCs w:val="21"/>
          <w:highlight w:val="none"/>
        </w:rPr>
        <w:t>4. 投标人应当如实填报</w:t>
      </w:r>
      <w:r>
        <w:rPr>
          <w:rFonts w:hint="eastAsia" w:ascii="宋体" w:hAnsi="宋体"/>
          <w:color w:val="auto"/>
          <w:szCs w:val="21"/>
          <w:highlight w:val="none"/>
        </w:rPr>
        <w:t>相关情况</w:t>
      </w:r>
      <w:r>
        <w:rPr>
          <w:rFonts w:hint="eastAsia"/>
          <w:color w:val="auto"/>
          <w:szCs w:val="21"/>
          <w:highlight w:val="none"/>
        </w:rPr>
        <w:t>，</w:t>
      </w:r>
      <w:r>
        <w:rPr>
          <w:rFonts w:hint="eastAsia" w:ascii="宋体" w:hAnsi="宋体"/>
          <w:color w:val="auto"/>
          <w:szCs w:val="21"/>
          <w:highlight w:val="none"/>
        </w:rPr>
        <w:t>没有相关情况应明确填“无”。</w:t>
      </w:r>
    </w:p>
    <w:p>
      <w:pPr>
        <w:spacing w:line="480" w:lineRule="auto"/>
        <w:rPr>
          <w:b/>
          <w:color w:val="auto"/>
          <w:sz w:val="24"/>
          <w:highlight w:val="none"/>
        </w:rPr>
      </w:pPr>
    </w:p>
    <w:p>
      <w:pPr>
        <w:pStyle w:val="20"/>
        <w:jc w:val="center"/>
        <w:outlineLvl w:val="2"/>
        <w:rPr>
          <w:color w:val="auto"/>
          <w:highlight w:val="none"/>
        </w:rPr>
      </w:pPr>
      <w:bookmarkStart w:id="3178" w:name="_Toc336192593"/>
      <w:bookmarkStart w:id="3179" w:name="_Toc380568811"/>
      <w:bookmarkStart w:id="3180" w:name="_Toc336192508"/>
      <w:bookmarkStart w:id="3181" w:name="_Toc868042998"/>
      <w:bookmarkStart w:id="3182" w:name="_Toc30964"/>
      <w:bookmarkStart w:id="3183" w:name="_Toc18771"/>
      <w:bookmarkStart w:id="3184" w:name="_Toc7430"/>
      <w:bookmarkStart w:id="3185" w:name="_Toc22526"/>
      <w:bookmarkStart w:id="3186" w:name="_Toc12131"/>
      <w:bookmarkStart w:id="3187" w:name="_Toc1998278600"/>
      <w:bookmarkStart w:id="3188" w:name="_Toc9072"/>
      <w:r>
        <w:rPr>
          <w:rFonts w:hint="eastAsia"/>
          <w:color w:val="auto"/>
          <w:highlight w:val="none"/>
        </w:rPr>
        <w:t>十</w:t>
      </w:r>
      <w:r>
        <w:rPr>
          <w:color w:val="auto"/>
          <w:highlight w:val="none"/>
        </w:rPr>
        <w:t>、</w:t>
      </w:r>
      <w:bookmarkEnd w:id="3131"/>
      <w:bookmarkEnd w:id="3132"/>
      <w:bookmarkEnd w:id="3133"/>
      <w:bookmarkEnd w:id="3134"/>
      <w:bookmarkEnd w:id="3178"/>
      <w:bookmarkEnd w:id="3179"/>
      <w:bookmarkEnd w:id="3180"/>
      <w:bookmarkEnd w:id="3181"/>
      <w:bookmarkEnd w:id="3182"/>
      <w:bookmarkEnd w:id="3183"/>
      <w:bookmarkEnd w:id="3184"/>
      <w:bookmarkEnd w:id="3185"/>
      <w:bookmarkEnd w:id="3186"/>
      <w:bookmarkEnd w:id="3187"/>
      <w:r>
        <w:rPr>
          <w:rFonts w:hint="eastAsia"/>
          <w:color w:val="auto"/>
          <w:highlight w:val="none"/>
        </w:rPr>
        <w:t>农田建设项目信用承诺书</w:t>
      </w:r>
      <w:bookmarkEnd w:id="3188"/>
    </w:p>
    <w:p>
      <w:pPr>
        <w:spacing w:line="360" w:lineRule="auto"/>
        <w:ind w:firstLine="444" w:firstLineChars="200"/>
        <w:rPr>
          <w:rFonts w:ascii="宋体" w:hAnsi="宋体" w:cs="宋体"/>
          <w:color w:val="auto"/>
          <w:spacing w:val="6"/>
          <w:szCs w:val="21"/>
          <w:highlight w:val="none"/>
        </w:rPr>
      </w:pP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本单位</w:t>
      </w:r>
      <w:r>
        <w:rPr>
          <w:rFonts w:hint="eastAsia" w:ascii="宋体" w:hAnsi="宋体" w:eastAsia="宋体" w:cs="宋体"/>
          <w:color w:val="auto"/>
          <w:sz w:val="21"/>
          <w:szCs w:val="21"/>
          <w:highlight w:val="none"/>
        </w:rPr>
        <w:t>在承担项目施工期间，郑重承诺如下：</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1.严格按照投标文件与合同约定配备相关人员，确保到场。不在未经项目业主同意的情况下擅自调整项目人员构成。</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2.严格按照投标文件与合同约定投入施工机械。</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3.严格按照合同约定期限完成施工任务。</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4.严格按照合同约定期限及上级规定完成单项工程验收、初步验收、竣工验收。</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5.按照工程设计图纸和施工技术标准施工，不擅自修改、变更项目设计文件。</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6.凡进入项目施工现场的建筑材料、构配件和设备应具有产品质量出厂合格证明或技术标准规定的进场试验报告。</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7.对原材料和中间材料见证取样和送检，并对构配件和设备等进行抽检，不投入使用未经检验或经检验不合格的原材料和中间材料。</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8.加强各专业工种、工序施工管理，未经验收或质量检验评定不合格的，不进行下一个工种、下一道工序施工。</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建立健全安全生产责任制度和安全生产教育培训制度，制定安全生产规章制度和操作规程，保证本单位安全生产条件所需资金的投入，对所承担的建设工程进行定期和专项安全检查，并做好安全检查记录。设立安全生产管理机构，配备专职安全生产管理人员。</w:t>
      </w:r>
    </w:p>
    <w:p>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实行农民工劳动用工实名制管理，与招用的农民工书面约定工资支付标准、支付时间、支付方式等内容。按照与农民工书面约定的工资支付周期和具体支付日期足额支付工资。按照工资支付周期编制书面工资支付台账。书面工资支付台账应当包括用人单位名称，支付周期，支付日期，支付对象姓名、身份证号码、联系方式，工作时间，应发工资项目及数额，代扣、代缴、扣除项目和数额，实发工资数额，银行代发工资凭证或者农民工签字等内容。</w:t>
      </w:r>
    </w:p>
    <w:p>
      <w:pPr>
        <w:spacing w:line="480" w:lineRule="exact"/>
        <w:ind w:firstLine="420" w:firstLineChars="200"/>
        <w:rPr>
          <w:rFonts w:hint="eastAsia" w:ascii="宋体" w:hAnsi="宋体" w:eastAsia="宋体" w:cs="宋体"/>
          <w:color w:val="auto"/>
          <w:sz w:val="21"/>
          <w:szCs w:val="21"/>
          <w:highlight w:val="none"/>
        </w:rPr>
      </w:pPr>
    </w:p>
    <w:p>
      <w:pPr>
        <w:spacing w:line="480" w:lineRule="exact"/>
        <w:ind w:firstLine="420" w:firstLineChars="200"/>
        <w:rPr>
          <w:rFonts w:hint="eastAsia" w:ascii="宋体" w:hAnsi="宋体" w:eastAsia="宋体" w:cs="宋体"/>
          <w:color w:val="auto"/>
          <w:sz w:val="21"/>
          <w:szCs w:val="21"/>
          <w:highlight w:val="none"/>
        </w:rPr>
      </w:pPr>
    </w:p>
    <w:p>
      <w:pPr>
        <w:spacing w:line="480" w:lineRule="exact"/>
        <w:ind w:firstLine="4830" w:firstLineChars="2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承诺单位（公章）：        </w:t>
      </w:r>
    </w:p>
    <w:p>
      <w:pPr>
        <w:spacing w:line="480" w:lineRule="exact"/>
        <w:ind w:firstLine="4830" w:firstLineChars="2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法定代表人（签字）：        </w:t>
      </w:r>
    </w:p>
    <w:p>
      <w:pPr>
        <w:spacing w:line="480" w:lineRule="exact"/>
        <w:ind w:firstLine="640"/>
        <w:jc w:val="center"/>
        <w:rPr>
          <w:rFonts w:ascii="仿宋" w:hAnsi="仿宋" w:eastAsia="仿宋"/>
          <w:color w:val="auto"/>
          <w:sz w:val="21"/>
          <w:szCs w:val="21"/>
          <w:highlight w:val="none"/>
        </w:rPr>
      </w:pP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    月    日</w:t>
      </w:r>
    </w:p>
    <w:p>
      <w:pPr>
        <w:rPr>
          <w:rFonts w:hint="eastAsia"/>
          <w:color w:val="auto"/>
          <w:highlight w:val="none"/>
        </w:rPr>
      </w:pPr>
      <w:r>
        <w:rPr>
          <w:rFonts w:hint="eastAsia"/>
          <w:color w:val="auto"/>
          <w:highlight w:val="none"/>
        </w:rPr>
        <w:br w:type="page"/>
      </w:r>
    </w:p>
    <w:p>
      <w:pPr>
        <w:pStyle w:val="20"/>
        <w:jc w:val="center"/>
        <w:outlineLvl w:val="2"/>
        <w:rPr>
          <w:color w:val="auto"/>
          <w:highlight w:val="none"/>
        </w:rPr>
      </w:pPr>
      <w:bookmarkStart w:id="3189" w:name="_Toc6506"/>
      <w:r>
        <w:rPr>
          <w:rFonts w:hint="eastAsia"/>
          <w:color w:val="auto"/>
          <w:highlight w:val="none"/>
        </w:rPr>
        <w:t>十</w:t>
      </w:r>
      <w:r>
        <w:rPr>
          <w:rFonts w:hint="eastAsia"/>
          <w:color w:val="auto"/>
          <w:highlight w:val="none"/>
          <w:lang w:val="en-US" w:eastAsia="zh-CN"/>
        </w:rPr>
        <w:t>一</w:t>
      </w:r>
      <w:r>
        <w:rPr>
          <w:color w:val="auto"/>
          <w:highlight w:val="none"/>
        </w:rPr>
        <w:t>、其他材料</w:t>
      </w:r>
      <w:bookmarkEnd w:id="3189"/>
    </w:p>
    <w:p>
      <w:pPr>
        <w:outlineLvl w:val="9"/>
        <w:rPr>
          <w:color w:val="auto"/>
          <w:highlight w:val="none"/>
        </w:rPr>
      </w:pPr>
    </w:p>
    <w:sectPr>
      <w:pgSz w:w="11906" w:h="16838"/>
      <w:pgMar w:top="1418" w:right="1418" w:bottom="1418" w:left="1418"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黑体_GBK">
    <w:altName w:val="Arial Unicode MS"/>
    <w:panose1 w:val="02000000000000000000"/>
    <w:charset w:val="86"/>
    <w:family w:val="auto"/>
    <w:pitch w:val="default"/>
    <w:sig w:usb0="00000000" w:usb1="00000000" w:usb2="00000000" w:usb3="00000000" w:csb0="00040000" w:csb1="00000000"/>
  </w:font>
  <w:font w:name="汉仪大黑简">
    <w:altName w:val="黑体"/>
    <w:panose1 w:val="02010600000101010101"/>
    <w:charset w:val="86"/>
    <w:family w:val="auto"/>
    <w:pitch w:val="default"/>
    <w:sig w:usb0="00000000" w:usb1="00000000" w:usb2="00000002"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txbxContent>
              </v:textbox>
            </v:shape>
          </w:pict>
        </mc:Fallback>
      </mc:AlternateContent>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txbxContent>
              </v:textbox>
            </v:shape>
          </w:pict>
        </mc:Fallback>
      </mc:AlternateContent>
    </w:r>
  </w:p>
  <w:p>
    <w:pPr>
      <w:pStyle w:val="1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20</w:t>
                          </w:r>
                          <w:r>
                            <w:rPr>
                              <w:lang w:val="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CvaJe8AQAAYwMAAA4AAABkcnMvZTJvRG9jLnhtbK1TzY7TMBC+&#10;I/EOlu802WoXoqjpCrRahIQAaZcHcB27seQ/zbhN+gLwBpy4cOe5+hyM3aaL4Ia4ODOe8TfzzXxZ&#10;3U7Osr0CNMF3/GpRc6a8DL3x245/frx/0XCGSfhe2OBVxw8K+e36+bPVGFu1DEOwvQJGIB7bMXZ8&#10;SCm2VYVyUE7gIkTlKagDOJHIhW3VgxgJ3dlqWdcvqzFAHyFIhUi3d6cgXxd8rZVMH7VGlZjtOPWW&#10;ygnl3OSzWq9EuwURByPPbYh/6MIJ46noBepOJMF2YP6CckZCwKDTQgZXBa2NVIUDsbmq/2DzMIio&#10;ChcaDsbLmPD/wcoP+0/ATN/xa868cLSi47evx+8/jz++sOs8njFiS1kPkfLS9CZMtOb5Hukys540&#10;uPwlPoziNOjDZbhqSkzmR82yaWoKSYrNDuFXT88jYHqrgmPZ6DjQ9spQxf49plPqnJKr+XBvrC0b&#10;tJ6NhHrTvLopLy4hQrc+J6sihjNO5nTqPVtp2kxnopvQH4jnSILouCfFcmbfeZp31s5swGxsZmMX&#10;wWyHIq5cC+PrXaLmSs+5wgmWuGaHNllYn1WXpfK7X7Ke/o31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GhpgkvTAAAABQEAAA8AAAAAAAAAAQAgAAAAIgAAAGRycy9kb3ducmV2LnhtbFBLAQIUABQA&#10;AAAIAIdO4kBwr2iXvAEAAGMDAAAOAAAAAAAAAAEAIAAAACIBAABkcnMvZTJvRG9jLnhtbFBLBQYA&#10;AAAABgAGAFkBAABQBQAAAAA=&#10;">
              <v:fill on="f" focussize="0,0"/>
              <v:stroke on="f" weight="1.25pt"/>
              <v:imagedata o:title=""/>
              <o:lock v:ext="edit" aspectratio="f"/>
              <v:textbox inset="0mm,0mm,0mm,0mm" style="mso-fit-shape-to-text:t;">
                <w:txbx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20</w:t>
                    </w:r>
                    <w:r>
                      <w:rPr>
                        <w:lang w:val="zh-CN"/>
                      </w:rPr>
                      <w:fldChar w:fldCharType="end"/>
                    </w:r>
                  </w:p>
                </w:txbxContent>
              </v:textbox>
            </v:shape>
          </w:pict>
        </mc:Fallback>
      </mc:AlternateContent>
    </w:r>
  </w:p>
  <w:p>
    <w:pPr>
      <w:pStyle w:val="1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eastAsia="仿宋_GB2312"/>
        <w:sz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98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98</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3"/>
      </w:rPr>
    </w:pPr>
    <w:r>
      <w:fldChar w:fldCharType="begin"/>
    </w:r>
    <w:r>
      <w:rPr>
        <w:rStyle w:val="23"/>
      </w:rPr>
      <w:instrText xml:space="preserve">PAGE  </w:instrText>
    </w:r>
    <w:r>
      <w:fldChar w:fldCharType="separate"/>
    </w:r>
    <w:r>
      <w:rPr>
        <w:rStyle w:val="23"/>
      </w:rPr>
      <w:t>24</w:t>
    </w:r>
    <w:r>
      <w:fldChar w:fldCharType="end"/>
    </w:r>
  </w:p>
  <w:p>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18"/>
        <w:snapToGrid w:val="0"/>
        <w:rPr>
          <w:rFonts w:hint="default" w:eastAsia="宋体"/>
          <w:lang w:val="en-US" w:eastAsia="zh-CN"/>
        </w:rPr>
      </w:pPr>
      <w:r>
        <w:rPr>
          <w:rStyle w:val="27"/>
        </w:rPr>
        <w:footnoteRef/>
      </w:r>
      <w:r>
        <w:t xml:space="preserve"> </w:t>
      </w:r>
      <w:r>
        <w:rPr>
          <w:rFonts w:hint="eastAsia"/>
          <w:lang w:val="en-US" w:eastAsia="zh-CN"/>
        </w:rPr>
        <w:t>由招标人根据项目实际情况选择，如</w:t>
      </w:r>
      <w:r>
        <w:rPr>
          <w:rFonts w:hint="eastAsia"/>
        </w:rPr>
        <w:t>总价包干</w:t>
      </w:r>
      <w:r>
        <w:rPr>
          <w:rFonts w:hint="eastAsia"/>
          <w:lang w:val="en-US" w:eastAsia="zh-CN"/>
        </w:rPr>
        <w:t>、</w:t>
      </w:r>
      <w:r>
        <w:rPr>
          <w:rFonts w:hint="eastAsia"/>
        </w:rPr>
        <w:t>综合单价包干</w:t>
      </w:r>
      <w:r>
        <w:rPr>
          <w:rFonts w:hint="eastAsia"/>
          <w:lang w:val="en-US" w:eastAsia="zh-CN"/>
        </w:rPr>
        <w:t>。</w:t>
      </w:r>
    </w:p>
  </w:footnote>
  <w:footnote w:id="1">
    <w:p>
      <w:pPr>
        <w:pStyle w:val="18"/>
        <w:snapToGrid w:val="0"/>
        <w:rPr>
          <w:rFonts w:hint="default" w:eastAsia="宋体"/>
          <w:lang w:val="en-US" w:eastAsia="zh-CN"/>
        </w:rPr>
      </w:pPr>
      <w:r>
        <w:rPr>
          <w:rStyle w:val="27"/>
        </w:rPr>
        <w:footnoteRef/>
      </w:r>
      <w:r>
        <w:t xml:space="preserve"> </w:t>
      </w:r>
      <w:r>
        <w:rPr>
          <w:rFonts w:hint="eastAsia"/>
          <w:lang w:val="en-US" w:eastAsia="zh-CN"/>
        </w:rPr>
        <w:t>由招标人根据项目实际情况选择，如</w:t>
      </w:r>
      <w:r>
        <w:rPr>
          <w:rFonts w:hint="eastAsia"/>
        </w:rPr>
        <w:t>总价包干</w:t>
      </w:r>
      <w:r>
        <w:rPr>
          <w:rFonts w:hint="eastAsia"/>
          <w:lang w:val="en-US" w:eastAsia="zh-CN"/>
        </w:rPr>
        <w:t>、</w:t>
      </w:r>
      <w:r>
        <w:rPr>
          <w:rFonts w:hint="eastAsia"/>
        </w:rPr>
        <w:t>综合单价包干</w:t>
      </w:r>
      <w:r>
        <w:rPr>
          <w:rFonts w:hint="eastAsia"/>
          <w:lang w:val="en-US" w:eastAsia="zh-CN"/>
        </w:rPr>
        <w:t>。</w:t>
      </w:r>
    </w:p>
  </w:footnote>
  <w:footnote w:id="2">
    <w:p>
      <w:pPr>
        <w:pStyle w:val="18"/>
      </w:pPr>
      <w:r>
        <w:rPr>
          <w:rStyle w:val="27"/>
        </w:rPr>
        <w:footnoteRef/>
      </w:r>
      <w:r>
        <w:rPr>
          <w:rFonts w:hint="eastAsia" w:ascii="宋体" w:hAnsi="宋体" w:cs="宋体"/>
          <w:kern w:val="0"/>
          <w:szCs w:val="21"/>
        </w:rPr>
        <w:t>投标保证金不得超过招标标段估算价的2%，投标保证金有效期应当与投标文件有效期一致。</w:t>
      </w:r>
    </w:p>
  </w:footnote>
  <w:footnote w:id="3">
    <w:p>
      <w:pPr>
        <w:pStyle w:val="18"/>
      </w:pPr>
      <w:r>
        <w:rPr>
          <w:rStyle w:val="27"/>
        </w:rPr>
        <w:footnoteRef/>
      </w:r>
      <w:r>
        <w:rPr>
          <w:rFonts w:hint="eastAsia"/>
          <w:lang w:val="en-US" w:eastAsia="zh-CN"/>
        </w:rPr>
        <w:t>招标人</w:t>
      </w:r>
      <w:r>
        <w:rPr>
          <w:rFonts w:hint="eastAsia"/>
        </w:rPr>
        <w:t>可根据招标项目实际情况调整。</w:t>
      </w:r>
    </w:p>
  </w:footnote>
  <w:footnote w:id="4">
    <w:p>
      <w:pPr>
        <w:pStyle w:val="18"/>
        <w:snapToGrid w:val="0"/>
      </w:pPr>
      <w:r>
        <w:rPr>
          <w:rStyle w:val="27"/>
        </w:rPr>
        <w:footnoteRef/>
      </w:r>
      <w:r>
        <w:t xml:space="preserve"> </w:t>
      </w:r>
      <w:r>
        <w:rPr>
          <w:rFonts w:hint="eastAsia" w:ascii="Calibri" w:hAnsi="Calibri"/>
          <w:szCs w:val="22"/>
        </w:rPr>
        <w:t>适用于投标保证金交到招标人账户的情况。</w:t>
      </w:r>
    </w:p>
  </w:footnote>
  <w:footnote w:id="5">
    <w:p>
      <w:pPr>
        <w:pStyle w:val="18"/>
        <w:snapToGrid w:val="0"/>
        <w:rPr>
          <w:rFonts w:hint="eastAsia" w:eastAsia="宋体"/>
          <w:lang w:eastAsia="zh-CN"/>
        </w:rPr>
      </w:pPr>
      <w:r>
        <w:rPr>
          <w:rStyle w:val="27"/>
        </w:rPr>
        <w:footnoteRef/>
      </w:r>
      <w:r>
        <w:t xml:space="preserve"> </w:t>
      </w:r>
      <w:r>
        <w:rPr>
          <w:rFonts w:hint="eastAsia"/>
        </w:rPr>
        <w:t>适用于投标保证金交到公共资源交易中心的情况</w:t>
      </w:r>
      <w:r>
        <w:rPr>
          <w:rFonts w:hint="eastAsia"/>
          <w:lang w:eastAsia="zh-CN"/>
        </w:rPr>
        <w:t>。</w:t>
      </w:r>
    </w:p>
  </w:footnote>
  <w:footnote w:id="6">
    <w:p>
      <w:pPr>
        <w:pStyle w:val="18"/>
        <w:snapToGrid w:val="0"/>
      </w:pPr>
      <w:r>
        <w:rPr>
          <w:rStyle w:val="27"/>
        </w:rPr>
        <w:footnoteRef/>
      </w:r>
      <w:r>
        <w:t xml:space="preserve"> </w:t>
      </w:r>
      <w:r>
        <w:rPr>
          <w:rFonts w:hint="eastAsia"/>
        </w:rPr>
        <w:t>类似工程的定义应结合招标项目属性、内容、等级等实际情况合理设定。</w:t>
      </w:r>
    </w:p>
  </w:footnote>
  <w:footnote w:id="7">
    <w:p>
      <w:pPr>
        <w:pStyle w:val="18"/>
        <w:snapToGrid w:val="0"/>
      </w:pPr>
      <w:r>
        <w:rPr>
          <w:rStyle w:val="27"/>
        </w:rPr>
        <w:footnoteRef/>
      </w:r>
      <w:r>
        <w:t xml:space="preserve"> </w:t>
      </w:r>
      <w:r>
        <w:rPr>
          <w:rFonts w:hint="eastAsia"/>
        </w:rPr>
        <w:t xml:space="preserve">履约保证金的金额不超过中标合同额的10%，下同。         </w:t>
      </w:r>
    </w:p>
  </w:footnote>
  <w:footnote w:id="8">
    <w:p>
      <w:pPr>
        <w:pStyle w:val="18"/>
      </w:pPr>
      <w:r>
        <w:rPr>
          <w:rStyle w:val="27"/>
        </w:rPr>
        <w:footnoteRef/>
      </w:r>
      <w:r>
        <w:rPr>
          <w:rFonts w:hint="eastAsia"/>
        </w:rPr>
        <w:t>由招标人根据项目实际情况进行选用。</w:t>
      </w:r>
    </w:p>
  </w:footnote>
  <w:footnote w:id="9">
    <w:p>
      <w:pPr>
        <w:pStyle w:val="18"/>
      </w:pPr>
      <w:r>
        <w:rPr>
          <w:rStyle w:val="27"/>
        </w:rPr>
        <w:footnoteRef/>
      </w:r>
      <w:r>
        <w:rPr>
          <w:rFonts w:hint="eastAsia"/>
        </w:rPr>
        <w:t>由招标人根据项目实际情况进行选用。</w:t>
      </w:r>
    </w:p>
    <w:p>
      <w:pPr>
        <w:pStyle w:val="18"/>
      </w:pPr>
    </w:p>
  </w:footnote>
  <w:footnote w:id="10">
    <w:p>
      <w:pPr>
        <w:pStyle w:val="18"/>
      </w:pPr>
      <w:r>
        <w:rPr>
          <w:rStyle w:val="27"/>
        </w:rPr>
        <w:footnoteRef/>
      </w:r>
      <w:r>
        <w:rPr>
          <w:rFonts w:hint="eastAsia"/>
        </w:rPr>
        <w:t>由招标人根据项目实际情况进行选用。</w:t>
      </w:r>
    </w:p>
  </w:footnote>
  <w:footnote w:id="11">
    <w:p>
      <w:pPr>
        <w:pStyle w:val="18"/>
      </w:pPr>
      <w:r>
        <w:rPr>
          <w:rStyle w:val="27"/>
        </w:rPr>
        <w:footnoteRef/>
      </w:r>
      <w:r>
        <w:rPr>
          <w:rFonts w:hint="eastAsia"/>
        </w:rPr>
        <w:t>由招标人根据项目实际情况进行选用。</w:t>
      </w:r>
    </w:p>
    <w:p>
      <w:pPr>
        <w:pStyle w:val="18"/>
      </w:pPr>
    </w:p>
  </w:footnote>
  <w:footnote w:id="12">
    <w:p>
      <w:pPr>
        <w:pStyle w:val="18"/>
        <w:snapToGrid w:val="0"/>
      </w:pPr>
      <w:r>
        <w:rPr>
          <w:rStyle w:val="27"/>
        </w:rPr>
        <w:footnoteRef/>
      </w:r>
      <w:r>
        <w:t xml:space="preserve"> </w:t>
      </w:r>
      <w:r>
        <w:rPr>
          <w:rFonts w:hint="eastAsia"/>
        </w:rPr>
        <w:t>复杂和大型工程项目采用综合评分法的，投标报价权重不少于60%，其他工程的施工招标采用综合评分法的，投标报价权重不少于80%。</w:t>
      </w:r>
    </w:p>
    <w:p>
      <w:pPr>
        <w:pStyle w:val="18"/>
        <w:snapToGrid w:val="0"/>
      </w:pPr>
    </w:p>
  </w:footnote>
  <w:footnote w:id="13">
    <w:p>
      <w:pPr>
        <w:pStyle w:val="18"/>
        <w:snapToGrid w:val="0"/>
        <w:rPr>
          <w:rFonts w:hint="default" w:eastAsia="宋体"/>
          <w:lang w:val="en-US" w:eastAsia="zh-CN"/>
        </w:rPr>
      </w:pPr>
      <w:r>
        <w:rPr>
          <w:rStyle w:val="27"/>
        </w:rPr>
        <w:footnoteRef/>
      </w:r>
      <w:r>
        <w:t xml:space="preserve"> </w:t>
      </w:r>
      <w:r>
        <w:rPr>
          <w:rFonts w:hint="eastAsia"/>
          <w:lang w:val="en-US" w:eastAsia="zh-CN"/>
        </w:rPr>
        <w:t>须设置资料员。</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E30CE4"/>
    <w:multiLevelType w:val="singleLevel"/>
    <w:tmpl w:val="FBE30CE4"/>
    <w:lvl w:ilvl="0" w:tentative="0">
      <w:start w:val="9"/>
      <w:numFmt w:val="decimal"/>
      <w:suff w:val="space"/>
      <w:lvlText w:val="%1."/>
      <w:lvlJc w:val="left"/>
    </w:lvl>
  </w:abstractNum>
  <w:abstractNum w:abstractNumId="1">
    <w:nsid w:val="00000006"/>
    <w:multiLevelType w:val="singleLevel"/>
    <w:tmpl w:val="00000006"/>
    <w:lvl w:ilvl="0" w:tentative="0">
      <w:start w:val="1"/>
      <w:numFmt w:val="decimal"/>
      <w:suff w:val="nothing"/>
      <w:lvlText w:val="（%1）"/>
      <w:lvlJc w:val="left"/>
    </w:lvl>
  </w:abstractNum>
  <w:abstractNum w:abstractNumId="2">
    <w:nsid w:val="5990E113"/>
    <w:multiLevelType w:val="singleLevel"/>
    <w:tmpl w:val="5990E113"/>
    <w:lvl w:ilvl="0" w:tentative="0">
      <w:start w:val="2"/>
      <w:numFmt w:val="decimal"/>
      <w:lvlText w:val="%1."/>
      <w:lvlJc w:val="left"/>
      <w:pPr>
        <w:tabs>
          <w:tab w:val="left" w:pos="312"/>
        </w:tabs>
      </w:pPr>
    </w:lvl>
  </w:abstractNum>
  <w:abstractNum w:abstractNumId="3">
    <w:nsid w:val="5AD0F9E9"/>
    <w:multiLevelType w:val="singleLevel"/>
    <w:tmpl w:val="5AD0F9E9"/>
    <w:lvl w:ilvl="0" w:tentative="0">
      <w:start w:val="1"/>
      <w:numFmt w:val="decimal"/>
      <w:suff w:val="nothing"/>
      <w:lvlText w:val="（%1）"/>
      <w:lvlJc w:val="left"/>
    </w:lvl>
  </w:abstractNum>
  <w:abstractNum w:abstractNumId="4">
    <w:nsid w:val="6760D569"/>
    <w:multiLevelType w:val="singleLevel"/>
    <w:tmpl w:val="6760D569"/>
    <w:lvl w:ilvl="0" w:tentative="0">
      <w:start w:val="8"/>
      <w:numFmt w:val="decimal"/>
      <w:suff w:val="space"/>
      <w:lvlText w:val="%1."/>
      <w:lvlJc w:val="left"/>
    </w:lvl>
  </w:abstractNum>
  <w:abstractNum w:abstractNumId="5">
    <w:nsid w:val="6AEA90C4"/>
    <w:multiLevelType w:val="singleLevel"/>
    <w:tmpl w:val="6AEA90C4"/>
    <w:lvl w:ilvl="0" w:tentative="0">
      <w:start w:val="2"/>
      <w:numFmt w:val="chineseCounting"/>
      <w:suff w:val="nothing"/>
      <w:lvlText w:val="（%1）"/>
      <w:lvlJc w:val="left"/>
      <w:rPr>
        <w:rFonts w:hint="eastAsia"/>
      </w:rPr>
    </w:lvl>
  </w:abstractNum>
  <w:num w:numId="1">
    <w:abstractNumId w:val="0"/>
  </w:num>
  <w:num w:numId="2">
    <w:abstractNumId w:val="4"/>
  </w:num>
  <w:num w:numId="3">
    <w:abstractNumId w:val="3"/>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0"/>
  <w:bordersDoNotSurroundFooter w:val="0"/>
  <w:hideSpellingErrors/>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5NDg1NTA1OTM4ZTQ0MzdjOTk3ZjkxNDZiYzM3OTkifQ=="/>
    <w:docVar w:name="KSO_WPS_MARK_KEY" w:val="8c213cd5-58e9-47ee-b71b-c99fd61ab990"/>
  </w:docVars>
  <w:rsids>
    <w:rsidRoot w:val="00172A27"/>
    <w:rsid w:val="00172A27"/>
    <w:rsid w:val="00192755"/>
    <w:rsid w:val="0023497A"/>
    <w:rsid w:val="004C300E"/>
    <w:rsid w:val="006A79C6"/>
    <w:rsid w:val="00847DE1"/>
    <w:rsid w:val="009764F5"/>
    <w:rsid w:val="00D0337D"/>
    <w:rsid w:val="017716F4"/>
    <w:rsid w:val="01BA528A"/>
    <w:rsid w:val="01CA5F1D"/>
    <w:rsid w:val="022830E4"/>
    <w:rsid w:val="029D33DC"/>
    <w:rsid w:val="02C31095"/>
    <w:rsid w:val="03260241"/>
    <w:rsid w:val="033248DF"/>
    <w:rsid w:val="034C45ED"/>
    <w:rsid w:val="03AF18D1"/>
    <w:rsid w:val="04A31AD1"/>
    <w:rsid w:val="04A70542"/>
    <w:rsid w:val="04A81553"/>
    <w:rsid w:val="04AE722E"/>
    <w:rsid w:val="04C174DB"/>
    <w:rsid w:val="04E716C3"/>
    <w:rsid w:val="05164A25"/>
    <w:rsid w:val="05453FE3"/>
    <w:rsid w:val="057E1C87"/>
    <w:rsid w:val="0583671B"/>
    <w:rsid w:val="05C328E8"/>
    <w:rsid w:val="05FD39CC"/>
    <w:rsid w:val="0631401F"/>
    <w:rsid w:val="06A55DD7"/>
    <w:rsid w:val="06E723F8"/>
    <w:rsid w:val="07A5520D"/>
    <w:rsid w:val="07D92C60"/>
    <w:rsid w:val="08393E73"/>
    <w:rsid w:val="088B72CA"/>
    <w:rsid w:val="08BB0570"/>
    <w:rsid w:val="08EF3D5E"/>
    <w:rsid w:val="09F922B8"/>
    <w:rsid w:val="0A1270CD"/>
    <w:rsid w:val="0A766CF7"/>
    <w:rsid w:val="0B863E3A"/>
    <w:rsid w:val="0B8F20D5"/>
    <w:rsid w:val="0BCB2D68"/>
    <w:rsid w:val="0D100AE1"/>
    <w:rsid w:val="0D415BDD"/>
    <w:rsid w:val="0D625687"/>
    <w:rsid w:val="0DB6133E"/>
    <w:rsid w:val="0DE01A63"/>
    <w:rsid w:val="0E1B13CE"/>
    <w:rsid w:val="0EBA4906"/>
    <w:rsid w:val="0F36419E"/>
    <w:rsid w:val="0F704240"/>
    <w:rsid w:val="0F762D63"/>
    <w:rsid w:val="0FA84832"/>
    <w:rsid w:val="10A71E43"/>
    <w:rsid w:val="10DC4A70"/>
    <w:rsid w:val="11403B5A"/>
    <w:rsid w:val="11517434"/>
    <w:rsid w:val="116A2D8F"/>
    <w:rsid w:val="11B80C55"/>
    <w:rsid w:val="11ED6F4D"/>
    <w:rsid w:val="120E12B5"/>
    <w:rsid w:val="12AD3208"/>
    <w:rsid w:val="12C3110E"/>
    <w:rsid w:val="12EA3113"/>
    <w:rsid w:val="12ED4198"/>
    <w:rsid w:val="12F01C1A"/>
    <w:rsid w:val="132C4AE6"/>
    <w:rsid w:val="136F4921"/>
    <w:rsid w:val="13883F55"/>
    <w:rsid w:val="13B41253"/>
    <w:rsid w:val="13F7615B"/>
    <w:rsid w:val="14AC513B"/>
    <w:rsid w:val="15BF5C2B"/>
    <w:rsid w:val="15C9656A"/>
    <w:rsid w:val="15D965DB"/>
    <w:rsid w:val="173637C3"/>
    <w:rsid w:val="17557BE2"/>
    <w:rsid w:val="1756574D"/>
    <w:rsid w:val="175D178A"/>
    <w:rsid w:val="17C06A90"/>
    <w:rsid w:val="188B45D1"/>
    <w:rsid w:val="18BA4890"/>
    <w:rsid w:val="18D23988"/>
    <w:rsid w:val="19AF0A4A"/>
    <w:rsid w:val="19D11E91"/>
    <w:rsid w:val="19EA7915"/>
    <w:rsid w:val="1A4E60FF"/>
    <w:rsid w:val="1A613215"/>
    <w:rsid w:val="1AC00093"/>
    <w:rsid w:val="1B8B308F"/>
    <w:rsid w:val="1BDE2432"/>
    <w:rsid w:val="1BE063BC"/>
    <w:rsid w:val="1C1B528D"/>
    <w:rsid w:val="1CAA782F"/>
    <w:rsid w:val="1CBF2152"/>
    <w:rsid w:val="1CCC570F"/>
    <w:rsid w:val="1CF75960"/>
    <w:rsid w:val="1D7D0CD2"/>
    <w:rsid w:val="1D972D03"/>
    <w:rsid w:val="1DBB0E8E"/>
    <w:rsid w:val="1E236A34"/>
    <w:rsid w:val="1E2D1660"/>
    <w:rsid w:val="1E7F6837"/>
    <w:rsid w:val="1E84031A"/>
    <w:rsid w:val="1E9673A1"/>
    <w:rsid w:val="1EC72E85"/>
    <w:rsid w:val="1EE71A21"/>
    <w:rsid w:val="1F0827F2"/>
    <w:rsid w:val="1F3452D6"/>
    <w:rsid w:val="1F6E2142"/>
    <w:rsid w:val="1F9544D3"/>
    <w:rsid w:val="1FA35DEC"/>
    <w:rsid w:val="1FCE45BD"/>
    <w:rsid w:val="20737BFA"/>
    <w:rsid w:val="20EF05C9"/>
    <w:rsid w:val="210352D4"/>
    <w:rsid w:val="21604585"/>
    <w:rsid w:val="21C35049"/>
    <w:rsid w:val="21C377A6"/>
    <w:rsid w:val="21F84D61"/>
    <w:rsid w:val="225A65A3"/>
    <w:rsid w:val="228C57DF"/>
    <w:rsid w:val="22C16090"/>
    <w:rsid w:val="230277F9"/>
    <w:rsid w:val="23562FB2"/>
    <w:rsid w:val="2388446E"/>
    <w:rsid w:val="24077A99"/>
    <w:rsid w:val="2484156D"/>
    <w:rsid w:val="24B85237"/>
    <w:rsid w:val="251A293E"/>
    <w:rsid w:val="25221E3E"/>
    <w:rsid w:val="25B212BD"/>
    <w:rsid w:val="25F602DD"/>
    <w:rsid w:val="26641C22"/>
    <w:rsid w:val="266E746B"/>
    <w:rsid w:val="26AC4595"/>
    <w:rsid w:val="26ED00D6"/>
    <w:rsid w:val="270D6265"/>
    <w:rsid w:val="273870AC"/>
    <w:rsid w:val="27881F6C"/>
    <w:rsid w:val="279309F0"/>
    <w:rsid w:val="27D52B4D"/>
    <w:rsid w:val="27F51DBA"/>
    <w:rsid w:val="27F8174D"/>
    <w:rsid w:val="27FA798C"/>
    <w:rsid w:val="28015C6A"/>
    <w:rsid w:val="28277120"/>
    <w:rsid w:val="2868347B"/>
    <w:rsid w:val="287F4144"/>
    <w:rsid w:val="28951DB4"/>
    <w:rsid w:val="28FF8C3E"/>
    <w:rsid w:val="29282EA6"/>
    <w:rsid w:val="29AA0009"/>
    <w:rsid w:val="2A60701A"/>
    <w:rsid w:val="2AC6025F"/>
    <w:rsid w:val="2B0B029A"/>
    <w:rsid w:val="2B1D67DB"/>
    <w:rsid w:val="2B2B6040"/>
    <w:rsid w:val="2B492F95"/>
    <w:rsid w:val="2B7B2D90"/>
    <w:rsid w:val="2B7D5CE8"/>
    <w:rsid w:val="2B807273"/>
    <w:rsid w:val="2BD17810"/>
    <w:rsid w:val="2C220880"/>
    <w:rsid w:val="2C237961"/>
    <w:rsid w:val="2C8D4FB3"/>
    <w:rsid w:val="2D1F06B1"/>
    <w:rsid w:val="2E2824E6"/>
    <w:rsid w:val="2E302DEA"/>
    <w:rsid w:val="2E555FE9"/>
    <w:rsid w:val="2EB83212"/>
    <w:rsid w:val="2EC1468C"/>
    <w:rsid w:val="2EEE3876"/>
    <w:rsid w:val="2F1A5A56"/>
    <w:rsid w:val="2F1B2B61"/>
    <w:rsid w:val="2F4D4820"/>
    <w:rsid w:val="2F63610E"/>
    <w:rsid w:val="2F6A2D7D"/>
    <w:rsid w:val="2F6C2AFF"/>
    <w:rsid w:val="2F8F13C1"/>
    <w:rsid w:val="2FA23C5C"/>
    <w:rsid w:val="2FC72074"/>
    <w:rsid w:val="2FF92B02"/>
    <w:rsid w:val="300D74F0"/>
    <w:rsid w:val="30C25A2F"/>
    <w:rsid w:val="30E84AFF"/>
    <w:rsid w:val="30FC431F"/>
    <w:rsid w:val="310224D9"/>
    <w:rsid w:val="32610823"/>
    <w:rsid w:val="328525BE"/>
    <w:rsid w:val="32A7158A"/>
    <w:rsid w:val="33464A70"/>
    <w:rsid w:val="34533564"/>
    <w:rsid w:val="345D7C37"/>
    <w:rsid w:val="35364B2E"/>
    <w:rsid w:val="35E63852"/>
    <w:rsid w:val="366A3954"/>
    <w:rsid w:val="36741B52"/>
    <w:rsid w:val="367D0F7F"/>
    <w:rsid w:val="36BC6012"/>
    <w:rsid w:val="37164F30"/>
    <w:rsid w:val="376C6090"/>
    <w:rsid w:val="37F05781"/>
    <w:rsid w:val="37F53BFB"/>
    <w:rsid w:val="380F4B5F"/>
    <w:rsid w:val="3828704D"/>
    <w:rsid w:val="38573C0E"/>
    <w:rsid w:val="38795776"/>
    <w:rsid w:val="39292CF8"/>
    <w:rsid w:val="399A1A1B"/>
    <w:rsid w:val="3A7D23E5"/>
    <w:rsid w:val="3AB502B9"/>
    <w:rsid w:val="3AF56EF0"/>
    <w:rsid w:val="3B7CFA2F"/>
    <w:rsid w:val="3BC520F7"/>
    <w:rsid w:val="3BE07517"/>
    <w:rsid w:val="3C061B78"/>
    <w:rsid w:val="3C347559"/>
    <w:rsid w:val="3C753EBD"/>
    <w:rsid w:val="3CB56E7C"/>
    <w:rsid w:val="3D377D8A"/>
    <w:rsid w:val="3D5D5666"/>
    <w:rsid w:val="3D652B23"/>
    <w:rsid w:val="3DD7776F"/>
    <w:rsid w:val="3DEFCDEB"/>
    <w:rsid w:val="3DF02C97"/>
    <w:rsid w:val="3E3E4857"/>
    <w:rsid w:val="3E740419"/>
    <w:rsid w:val="3E8E3879"/>
    <w:rsid w:val="3F161F71"/>
    <w:rsid w:val="3F255D10"/>
    <w:rsid w:val="3F3B3785"/>
    <w:rsid w:val="3F5D5AE0"/>
    <w:rsid w:val="3F652431"/>
    <w:rsid w:val="3F7F1678"/>
    <w:rsid w:val="3FB56C6D"/>
    <w:rsid w:val="3FBD91A5"/>
    <w:rsid w:val="3FDF29E1"/>
    <w:rsid w:val="4055002F"/>
    <w:rsid w:val="40A24EE0"/>
    <w:rsid w:val="40A610D2"/>
    <w:rsid w:val="40A869C3"/>
    <w:rsid w:val="40E6539B"/>
    <w:rsid w:val="41681144"/>
    <w:rsid w:val="41766BA2"/>
    <w:rsid w:val="419751D9"/>
    <w:rsid w:val="41C43E62"/>
    <w:rsid w:val="41E8453E"/>
    <w:rsid w:val="41ED19E4"/>
    <w:rsid w:val="42451376"/>
    <w:rsid w:val="42FB6DBC"/>
    <w:rsid w:val="430975C8"/>
    <w:rsid w:val="43E8388F"/>
    <w:rsid w:val="43F6747D"/>
    <w:rsid w:val="4400590E"/>
    <w:rsid w:val="442F6FA8"/>
    <w:rsid w:val="4497554F"/>
    <w:rsid w:val="449974D6"/>
    <w:rsid w:val="44C60AEC"/>
    <w:rsid w:val="44FF3FDA"/>
    <w:rsid w:val="45055BEA"/>
    <w:rsid w:val="46036001"/>
    <w:rsid w:val="461A71B3"/>
    <w:rsid w:val="46397634"/>
    <w:rsid w:val="46A460B4"/>
    <w:rsid w:val="46CC2D7F"/>
    <w:rsid w:val="46D324F5"/>
    <w:rsid w:val="474014BD"/>
    <w:rsid w:val="474D77F3"/>
    <w:rsid w:val="476D241D"/>
    <w:rsid w:val="47732C87"/>
    <w:rsid w:val="47D26D9C"/>
    <w:rsid w:val="48400AFB"/>
    <w:rsid w:val="48561F5C"/>
    <w:rsid w:val="489F3FFC"/>
    <w:rsid w:val="48A51EAE"/>
    <w:rsid w:val="48CA7C9D"/>
    <w:rsid w:val="48F70541"/>
    <w:rsid w:val="49676BEC"/>
    <w:rsid w:val="49686565"/>
    <w:rsid w:val="4A0E5E62"/>
    <w:rsid w:val="4A1277D9"/>
    <w:rsid w:val="4A1B2BD1"/>
    <w:rsid w:val="4A5058F8"/>
    <w:rsid w:val="4A5F6E80"/>
    <w:rsid w:val="4A63098A"/>
    <w:rsid w:val="4ADD23A3"/>
    <w:rsid w:val="4AE02806"/>
    <w:rsid w:val="4AFF7D5D"/>
    <w:rsid w:val="4B5913DF"/>
    <w:rsid w:val="4B9B6666"/>
    <w:rsid w:val="4BFF4505"/>
    <w:rsid w:val="4C25342A"/>
    <w:rsid w:val="4C32568A"/>
    <w:rsid w:val="4C554C45"/>
    <w:rsid w:val="4C58667F"/>
    <w:rsid w:val="4C983FC5"/>
    <w:rsid w:val="4CD76580"/>
    <w:rsid w:val="4CFA2728"/>
    <w:rsid w:val="4D8B1D7C"/>
    <w:rsid w:val="4E255D2C"/>
    <w:rsid w:val="4F006555"/>
    <w:rsid w:val="4F0A3ABE"/>
    <w:rsid w:val="4F2E0C11"/>
    <w:rsid w:val="4F675E6D"/>
    <w:rsid w:val="4F811CEE"/>
    <w:rsid w:val="4F8E0429"/>
    <w:rsid w:val="505C1C7B"/>
    <w:rsid w:val="5098349E"/>
    <w:rsid w:val="50B31D37"/>
    <w:rsid w:val="50BC5B0F"/>
    <w:rsid w:val="50E20972"/>
    <w:rsid w:val="510E7D84"/>
    <w:rsid w:val="51B94BFE"/>
    <w:rsid w:val="51CC5275"/>
    <w:rsid w:val="51DC2B68"/>
    <w:rsid w:val="51FED7AB"/>
    <w:rsid w:val="52A531D0"/>
    <w:rsid w:val="52AC6487"/>
    <w:rsid w:val="53004672"/>
    <w:rsid w:val="531666D6"/>
    <w:rsid w:val="53E96D15"/>
    <w:rsid w:val="54547A6F"/>
    <w:rsid w:val="54791977"/>
    <w:rsid w:val="54AB5BF1"/>
    <w:rsid w:val="54B81A07"/>
    <w:rsid w:val="55045B77"/>
    <w:rsid w:val="55D54465"/>
    <w:rsid w:val="55D938A0"/>
    <w:rsid w:val="55DC09CA"/>
    <w:rsid w:val="55FA3344"/>
    <w:rsid w:val="5609445F"/>
    <w:rsid w:val="56A96530"/>
    <w:rsid w:val="56D15A6E"/>
    <w:rsid w:val="56E2109B"/>
    <w:rsid w:val="57140D07"/>
    <w:rsid w:val="57833AC4"/>
    <w:rsid w:val="57CA34A1"/>
    <w:rsid w:val="58133FA8"/>
    <w:rsid w:val="58242D3F"/>
    <w:rsid w:val="583225CE"/>
    <w:rsid w:val="58397D2F"/>
    <w:rsid w:val="583B08FD"/>
    <w:rsid w:val="586025AF"/>
    <w:rsid w:val="58AE4AF2"/>
    <w:rsid w:val="58B636C1"/>
    <w:rsid w:val="58E30CBE"/>
    <w:rsid w:val="591E6307"/>
    <w:rsid w:val="5A366C08"/>
    <w:rsid w:val="5ADB0961"/>
    <w:rsid w:val="5B0B165F"/>
    <w:rsid w:val="5B0C6BFA"/>
    <w:rsid w:val="5CA70254"/>
    <w:rsid w:val="5D3E4715"/>
    <w:rsid w:val="5D6B3425"/>
    <w:rsid w:val="5D9D6CB3"/>
    <w:rsid w:val="5DDC7655"/>
    <w:rsid w:val="5E167DBD"/>
    <w:rsid w:val="5E60690D"/>
    <w:rsid w:val="5EFA7CCD"/>
    <w:rsid w:val="5FA23A48"/>
    <w:rsid w:val="5FA24513"/>
    <w:rsid w:val="606F72DB"/>
    <w:rsid w:val="608858C6"/>
    <w:rsid w:val="60E127A8"/>
    <w:rsid w:val="615A69F8"/>
    <w:rsid w:val="617C1CB0"/>
    <w:rsid w:val="6203474B"/>
    <w:rsid w:val="62D842D6"/>
    <w:rsid w:val="62F7218E"/>
    <w:rsid w:val="62FC3200"/>
    <w:rsid w:val="639257BA"/>
    <w:rsid w:val="64A67C7F"/>
    <w:rsid w:val="65024D2A"/>
    <w:rsid w:val="652D5FC3"/>
    <w:rsid w:val="65E557F1"/>
    <w:rsid w:val="66073390"/>
    <w:rsid w:val="660B26D0"/>
    <w:rsid w:val="663A5C95"/>
    <w:rsid w:val="669B3865"/>
    <w:rsid w:val="669F17D2"/>
    <w:rsid w:val="67145A4D"/>
    <w:rsid w:val="671D18B0"/>
    <w:rsid w:val="672EA9ED"/>
    <w:rsid w:val="676B42A5"/>
    <w:rsid w:val="67B007D0"/>
    <w:rsid w:val="67BF5061"/>
    <w:rsid w:val="67ED7271"/>
    <w:rsid w:val="683B6DE1"/>
    <w:rsid w:val="687B36E7"/>
    <w:rsid w:val="68D22DEE"/>
    <w:rsid w:val="69015A74"/>
    <w:rsid w:val="699A1D68"/>
    <w:rsid w:val="6A01502E"/>
    <w:rsid w:val="6A0779D8"/>
    <w:rsid w:val="6A153145"/>
    <w:rsid w:val="6A61700D"/>
    <w:rsid w:val="6AA54025"/>
    <w:rsid w:val="6AD45637"/>
    <w:rsid w:val="6AE43843"/>
    <w:rsid w:val="6AE628E8"/>
    <w:rsid w:val="6AEC6501"/>
    <w:rsid w:val="6B434BD5"/>
    <w:rsid w:val="6B633598"/>
    <w:rsid w:val="6B7718F2"/>
    <w:rsid w:val="6C1F4A28"/>
    <w:rsid w:val="6C223A49"/>
    <w:rsid w:val="6C263442"/>
    <w:rsid w:val="6C6E20D3"/>
    <w:rsid w:val="6CA4054A"/>
    <w:rsid w:val="6CB247D7"/>
    <w:rsid w:val="6CCE613F"/>
    <w:rsid w:val="6CE6276D"/>
    <w:rsid w:val="6D072C9C"/>
    <w:rsid w:val="6D2531FB"/>
    <w:rsid w:val="6D521F1F"/>
    <w:rsid w:val="6D851EEC"/>
    <w:rsid w:val="6DC92D8B"/>
    <w:rsid w:val="6E0E3C8F"/>
    <w:rsid w:val="6E873A42"/>
    <w:rsid w:val="6E8C4E15"/>
    <w:rsid w:val="6EA52F6B"/>
    <w:rsid w:val="6EFE5B70"/>
    <w:rsid w:val="6F245233"/>
    <w:rsid w:val="6F3256D1"/>
    <w:rsid w:val="6F532BB1"/>
    <w:rsid w:val="6F7630D2"/>
    <w:rsid w:val="6F90417E"/>
    <w:rsid w:val="6F9258DA"/>
    <w:rsid w:val="6FB66D39"/>
    <w:rsid w:val="704B508B"/>
    <w:rsid w:val="70D05DE9"/>
    <w:rsid w:val="70F7553D"/>
    <w:rsid w:val="70FC779A"/>
    <w:rsid w:val="7159552E"/>
    <w:rsid w:val="71734CC6"/>
    <w:rsid w:val="721668E6"/>
    <w:rsid w:val="72206DE1"/>
    <w:rsid w:val="72270896"/>
    <w:rsid w:val="727F55C1"/>
    <w:rsid w:val="72855F71"/>
    <w:rsid w:val="72A17B5D"/>
    <w:rsid w:val="72B73B84"/>
    <w:rsid w:val="72CB749C"/>
    <w:rsid w:val="72CD6775"/>
    <w:rsid w:val="72D405E0"/>
    <w:rsid w:val="72E13E1B"/>
    <w:rsid w:val="732E7AA3"/>
    <w:rsid w:val="733540F3"/>
    <w:rsid w:val="73563420"/>
    <w:rsid w:val="73926314"/>
    <w:rsid w:val="73C71D9B"/>
    <w:rsid w:val="748A7DE8"/>
    <w:rsid w:val="749B3DA3"/>
    <w:rsid w:val="752C5223"/>
    <w:rsid w:val="757DE146"/>
    <w:rsid w:val="75C25ED6"/>
    <w:rsid w:val="75EFC646"/>
    <w:rsid w:val="762C1090"/>
    <w:rsid w:val="76455A1A"/>
    <w:rsid w:val="766A7ED1"/>
    <w:rsid w:val="769179AA"/>
    <w:rsid w:val="769F325B"/>
    <w:rsid w:val="76A51580"/>
    <w:rsid w:val="76C03AD6"/>
    <w:rsid w:val="777D1E86"/>
    <w:rsid w:val="77C9104E"/>
    <w:rsid w:val="77E1549F"/>
    <w:rsid w:val="77EF0B18"/>
    <w:rsid w:val="786F5C73"/>
    <w:rsid w:val="789E7942"/>
    <w:rsid w:val="793967F5"/>
    <w:rsid w:val="7963752C"/>
    <w:rsid w:val="798153CC"/>
    <w:rsid w:val="79C00BB7"/>
    <w:rsid w:val="79C454A1"/>
    <w:rsid w:val="79FF945A"/>
    <w:rsid w:val="7A6A20B4"/>
    <w:rsid w:val="7A7B2E7E"/>
    <w:rsid w:val="7A7C15F3"/>
    <w:rsid w:val="7A923C0B"/>
    <w:rsid w:val="7AFD42F9"/>
    <w:rsid w:val="7B212CD8"/>
    <w:rsid w:val="7B9B803D"/>
    <w:rsid w:val="7BA72FC2"/>
    <w:rsid w:val="7BBA0112"/>
    <w:rsid w:val="7BCC34E5"/>
    <w:rsid w:val="7BF723CD"/>
    <w:rsid w:val="7C090879"/>
    <w:rsid w:val="7C556E26"/>
    <w:rsid w:val="7C6B0CD6"/>
    <w:rsid w:val="7CB15915"/>
    <w:rsid w:val="7CB24D98"/>
    <w:rsid w:val="7CEF1407"/>
    <w:rsid w:val="7D00352C"/>
    <w:rsid w:val="7D602561"/>
    <w:rsid w:val="7E167D92"/>
    <w:rsid w:val="7E171E3C"/>
    <w:rsid w:val="7E1914E0"/>
    <w:rsid w:val="7E677E64"/>
    <w:rsid w:val="7EAE6ED0"/>
    <w:rsid w:val="7EC47165"/>
    <w:rsid w:val="7EFE1AFE"/>
    <w:rsid w:val="7F0B2B16"/>
    <w:rsid w:val="7F7D58EC"/>
    <w:rsid w:val="7FA00746"/>
    <w:rsid w:val="7FB7048A"/>
    <w:rsid w:val="7FC335E9"/>
    <w:rsid w:val="7FC95C68"/>
    <w:rsid w:val="7FFD8351"/>
    <w:rsid w:val="7FFF78DC"/>
    <w:rsid w:val="96DE3BE2"/>
    <w:rsid w:val="96F63A20"/>
    <w:rsid w:val="9D4B5CFF"/>
    <w:rsid w:val="A7CD446F"/>
    <w:rsid w:val="BDFF3740"/>
    <w:rsid w:val="BEFF113C"/>
    <w:rsid w:val="BF7EF6BB"/>
    <w:rsid w:val="BFFE64DC"/>
    <w:rsid w:val="CCF9FE58"/>
    <w:rsid w:val="D5EFE6CB"/>
    <w:rsid w:val="D7F92033"/>
    <w:rsid w:val="DCFB06EB"/>
    <w:rsid w:val="DDBCE7D3"/>
    <w:rsid w:val="DDFE86F2"/>
    <w:rsid w:val="DE370ACC"/>
    <w:rsid w:val="DFEFA670"/>
    <w:rsid w:val="E15E4190"/>
    <w:rsid w:val="E69C0268"/>
    <w:rsid w:val="E9F71EFB"/>
    <w:rsid w:val="EDAEF2D5"/>
    <w:rsid w:val="EFF9FCF9"/>
    <w:rsid w:val="EFFC0B61"/>
    <w:rsid w:val="EFFD3760"/>
    <w:rsid w:val="F3FBF0BC"/>
    <w:rsid w:val="F4B50E80"/>
    <w:rsid w:val="F7BE7CC7"/>
    <w:rsid w:val="F9FB130D"/>
    <w:rsid w:val="FBDF572B"/>
    <w:rsid w:val="FBFD5B9A"/>
    <w:rsid w:val="FEFCDA4D"/>
    <w:rsid w:val="FF3B4BDD"/>
    <w:rsid w:val="FFCF29B1"/>
    <w:rsid w:val="FFFC6958"/>
    <w:rsid w:val="FFFF7B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120" w:after="120"/>
      <w:outlineLvl w:val="2"/>
    </w:pPr>
    <w:rPr>
      <w:rFonts w:ascii="宋体" w:hAnsi="宋体"/>
      <w:b/>
      <w:bCs/>
      <w:color w:val="FF0000"/>
      <w:sz w:val="24"/>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character" w:default="1" w:styleId="22">
    <w:name w:val="Default Paragraph Font"/>
    <w:semiHidden/>
    <w:unhideWhenUsed/>
    <w:qFormat/>
    <w:uiPriority w:val="1"/>
  </w:style>
  <w:style w:type="table" w:default="1" w:styleId="28">
    <w:name w:val="Normal Table"/>
    <w:semiHidden/>
    <w:unhideWhenUsed/>
    <w:qFormat/>
    <w:uiPriority w:val="99"/>
    <w:tblPr>
      <w:tblLayout w:type="fixed"/>
      <w:tblCellMar>
        <w:top w:w="0" w:type="dxa"/>
        <w:left w:w="108" w:type="dxa"/>
        <w:bottom w:w="0" w:type="dxa"/>
        <w:right w:w="108" w:type="dxa"/>
      </w:tblCellMar>
    </w:tblPr>
  </w:style>
  <w:style w:type="paragraph" w:styleId="7">
    <w:name w:val="Body Text First Indent"/>
    <w:basedOn w:val="8"/>
    <w:qFormat/>
    <w:uiPriority w:val="0"/>
    <w:pPr>
      <w:ind w:firstLine="420"/>
    </w:pPr>
    <w:rPr>
      <w:rFonts w:ascii="Times New Roman" w:hAnsi="Times New Roman" w:eastAsia="楷体_GB2312"/>
    </w:rPr>
  </w:style>
  <w:style w:type="paragraph" w:styleId="8">
    <w:name w:val="Body Text"/>
    <w:basedOn w:val="1"/>
    <w:qFormat/>
    <w:uiPriority w:val="0"/>
    <w:pPr>
      <w:spacing w:after="120"/>
    </w:pPr>
  </w:style>
  <w:style w:type="paragraph" w:styleId="9">
    <w:name w:val="annotation text"/>
    <w:basedOn w:val="1"/>
    <w:qFormat/>
    <w:uiPriority w:val="0"/>
    <w:pPr>
      <w:jc w:val="left"/>
    </w:pPr>
  </w:style>
  <w:style w:type="paragraph" w:styleId="10">
    <w:name w:val="Body Text 3"/>
    <w:basedOn w:val="1"/>
    <w:qFormat/>
    <w:uiPriority w:val="0"/>
    <w:rPr>
      <w:rFonts w:ascii="宋体"/>
      <w:sz w:val="24"/>
      <w:szCs w:val="20"/>
    </w:rPr>
  </w:style>
  <w:style w:type="paragraph" w:styleId="11">
    <w:name w:val="Body Text Indent"/>
    <w:basedOn w:val="1"/>
    <w:qFormat/>
    <w:uiPriority w:val="0"/>
    <w:pPr>
      <w:spacing w:after="120"/>
      <w:ind w:left="420" w:leftChars="200"/>
    </w:pPr>
  </w:style>
  <w:style w:type="paragraph" w:styleId="12">
    <w:name w:val="toc 3"/>
    <w:basedOn w:val="1"/>
    <w:next w:val="1"/>
    <w:qFormat/>
    <w:uiPriority w:val="0"/>
    <w:pPr>
      <w:ind w:left="840" w:leftChars="400"/>
    </w:pPr>
  </w:style>
  <w:style w:type="paragraph" w:styleId="13">
    <w:name w:val="Balloon Text"/>
    <w:basedOn w:val="1"/>
    <w:link w:val="42"/>
    <w:qFormat/>
    <w:uiPriority w:val="0"/>
    <w:rPr>
      <w:sz w:val="18"/>
      <w:szCs w:val="1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Body Text First Indent 2"/>
    <w:basedOn w:val="11"/>
    <w:qFormat/>
    <w:uiPriority w:val="0"/>
    <w:pPr>
      <w:ind w:firstLine="420"/>
    </w:pPr>
  </w:style>
  <w:style w:type="paragraph" w:styleId="16">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spacing w:before="120" w:after="120"/>
      <w:jc w:val="left"/>
    </w:pPr>
    <w:rPr>
      <w:b/>
      <w:bCs/>
      <w:caps/>
      <w:sz w:val="20"/>
      <w:szCs w:val="20"/>
    </w:rPr>
  </w:style>
  <w:style w:type="paragraph" w:styleId="18">
    <w:name w:val="footnote text"/>
    <w:basedOn w:val="1"/>
    <w:qFormat/>
    <w:uiPriority w:val="0"/>
    <w:pPr>
      <w:snapToGrid w:val="0"/>
      <w:jc w:val="left"/>
    </w:pPr>
    <w:rPr>
      <w:sz w:val="18"/>
    </w:rPr>
  </w:style>
  <w:style w:type="paragraph" w:styleId="19">
    <w:name w:val="toc 2"/>
    <w:basedOn w:val="1"/>
    <w:next w:val="20"/>
    <w:qFormat/>
    <w:uiPriority w:val="39"/>
    <w:pPr>
      <w:ind w:left="210"/>
      <w:jc w:val="left"/>
    </w:pPr>
    <w:rPr>
      <w:smallCaps/>
      <w:kern w:val="0"/>
      <w:sz w:val="20"/>
      <w:szCs w:val="20"/>
    </w:rPr>
  </w:style>
  <w:style w:type="paragraph" w:customStyle="1" w:styleId="20">
    <w:name w:val="样式 标题 2 + Times New Roman 四号 非加粗 段前: 5 磅 段后: 0 磅 行距: 固定值 20..."/>
    <w:basedOn w:val="3"/>
    <w:link w:val="34"/>
    <w:qFormat/>
    <w:uiPriority w:val="0"/>
    <w:pPr>
      <w:spacing w:before="100" w:after="0" w:line="400" w:lineRule="exact"/>
    </w:pPr>
    <w:rPr>
      <w:rFonts w:ascii="Times New Roman" w:hAnsi="Times New Roman" w:eastAsia="宋体"/>
      <w:kern w:val="0"/>
      <w:sz w:val="28"/>
      <w:szCs w:val="20"/>
    </w:rPr>
  </w:style>
  <w:style w:type="paragraph" w:styleId="21">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23">
    <w:name w:val="page number"/>
    <w:qFormat/>
    <w:uiPriority w:val="0"/>
    <w:rPr>
      <w:rFonts w:ascii="Arial" w:hAnsi="Arial" w:eastAsia="黑体"/>
      <w:kern w:val="2"/>
      <w:sz w:val="21"/>
      <w:szCs w:val="21"/>
      <w:lang w:val="en-US" w:eastAsia="zh-CN" w:bidi="ar-SA"/>
    </w:rPr>
  </w:style>
  <w:style w:type="character" w:styleId="24">
    <w:name w:val="Emphasis"/>
    <w:basedOn w:val="22"/>
    <w:qFormat/>
    <w:uiPriority w:val="0"/>
    <w:rPr>
      <w:i/>
    </w:rPr>
  </w:style>
  <w:style w:type="character" w:styleId="25">
    <w:name w:val="Hyperlink"/>
    <w:qFormat/>
    <w:uiPriority w:val="99"/>
    <w:rPr>
      <w:rFonts w:ascii="Arial" w:hAnsi="Arial" w:eastAsia="黑体"/>
      <w:color w:val="0000FF"/>
      <w:kern w:val="2"/>
      <w:sz w:val="21"/>
      <w:szCs w:val="21"/>
      <w:u w:val="single"/>
      <w:lang w:val="en-US" w:eastAsia="zh-CN" w:bidi="ar-SA"/>
    </w:rPr>
  </w:style>
  <w:style w:type="character" w:styleId="26">
    <w:name w:val="annotation reference"/>
    <w:basedOn w:val="22"/>
    <w:qFormat/>
    <w:uiPriority w:val="0"/>
    <w:rPr>
      <w:sz w:val="21"/>
      <w:szCs w:val="21"/>
    </w:rPr>
  </w:style>
  <w:style w:type="character" w:styleId="27">
    <w:name w:val="footnote reference"/>
    <w:basedOn w:val="22"/>
    <w:qFormat/>
    <w:uiPriority w:val="0"/>
    <w:rPr>
      <w:vertAlign w:val="superscript"/>
    </w:rPr>
  </w:style>
  <w:style w:type="paragraph" w:customStyle="1" w:styleId="29">
    <w:name w:val="PlainText"/>
    <w:basedOn w:val="1"/>
    <w:qFormat/>
    <w:uiPriority w:val="0"/>
    <w:rPr>
      <w:rFonts w:ascii="宋体" w:hAnsi="Courier New"/>
      <w:kern w:val="0"/>
      <w:sz w:val="20"/>
      <w:szCs w:val="20"/>
    </w:rPr>
  </w:style>
  <w:style w:type="paragraph" w:customStyle="1" w:styleId="30">
    <w:name w:val="样式20"/>
    <w:basedOn w:val="1"/>
    <w:next w:val="1"/>
    <w:qFormat/>
    <w:uiPriority w:val="0"/>
    <w:pPr>
      <w:spacing w:line="460" w:lineRule="exact"/>
      <w:ind w:firstLine="900" w:firstLineChars="300"/>
      <w:outlineLvl w:val="0"/>
    </w:pPr>
    <w:rPr>
      <w:rFonts w:eastAsia="黑体"/>
      <w:sz w:val="30"/>
      <w:szCs w:val="30"/>
      <w:u w:val="single"/>
    </w:rPr>
  </w:style>
  <w:style w:type="paragraph" w:customStyle="1" w:styleId="31">
    <w:name w:val="样式 标题 1 + 黑体 三号 非加粗 居中 段前: 6 磅 段后: 6 磅 行距: 固定值 20 磅"/>
    <w:basedOn w:val="2"/>
    <w:qFormat/>
    <w:uiPriority w:val="0"/>
    <w:pPr>
      <w:spacing w:before="120" w:after="120" w:line="400" w:lineRule="exact"/>
    </w:pPr>
    <w:rPr>
      <w:rFonts w:ascii="黑体" w:hAnsi="黑体" w:eastAsia="黑体"/>
      <w:kern w:val="0"/>
      <w:sz w:val="32"/>
      <w:szCs w:val="20"/>
    </w:rPr>
  </w:style>
  <w:style w:type="paragraph" w:customStyle="1" w:styleId="32">
    <w:name w:val="样式 标题 3 + (中文) 黑体 小四 非加粗 段前: 7.8 磅 段后: 0 磅 行距: 固定值 20 磅"/>
    <w:basedOn w:val="4"/>
    <w:link w:val="36"/>
    <w:qFormat/>
    <w:uiPriority w:val="0"/>
    <w:pPr>
      <w:spacing w:before="0" w:after="0" w:line="400" w:lineRule="exact"/>
    </w:pPr>
    <w:rPr>
      <w:rFonts w:ascii="Times New Roman" w:hAnsi="Times New Roman" w:eastAsia="黑体"/>
      <w:color w:val="000000"/>
      <w:kern w:val="0"/>
      <w:sz w:val="20"/>
      <w:szCs w:val="20"/>
    </w:rPr>
  </w:style>
  <w:style w:type="paragraph" w:customStyle="1" w:styleId="3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34">
    <w:name w:val="样式 标题 2 + Times New Roman 四号 非加粗 段前: 5 磅 段后: 0 磅 行距: 固定值 20... Char"/>
    <w:link w:val="20"/>
    <w:qFormat/>
    <w:uiPriority w:val="0"/>
    <w:rPr>
      <w:rFonts w:ascii="Times New Roman" w:hAnsi="Times New Roman" w:eastAsia="宋体"/>
      <w:kern w:val="0"/>
      <w:sz w:val="28"/>
      <w:szCs w:val="20"/>
    </w:rPr>
  </w:style>
  <w:style w:type="character" w:customStyle="1" w:styleId="35">
    <w:name w:val="标题 2 Char"/>
    <w:link w:val="3"/>
    <w:qFormat/>
    <w:uiPriority w:val="0"/>
    <w:rPr>
      <w:rFonts w:ascii="Arial" w:hAnsi="Arial" w:eastAsia="黑体"/>
      <w:b/>
      <w:bCs/>
      <w:sz w:val="32"/>
      <w:szCs w:val="32"/>
    </w:rPr>
  </w:style>
  <w:style w:type="character" w:customStyle="1" w:styleId="36">
    <w:name w:val="样式 标题 3 + (中文) 黑体 小四 非加粗 段前: 7.8 磅 段后: 0 磅 行距: 固定值 20 磅 Char"/>
    <w:link w:val="32"/>
    <w:qFormat/>
    <w:uiPriority w:val="0"/>
    <w:rPr>
      <w:rFonts w:ascii="Times New Roman" w:hAnsi="Times New Roman" w:eastAsia="黑体"/>
      <w:color w:val="000000"/>
      <w:kern w:val="0"/>
      <w:sz w:val="20"/>
      <w:szCs w:val="20"/>
    </w:rPr>
  </w:style>
  <w:style w:type="character" w:customStyle="1" w:styleId="37">
    <w:name w:val="标题 3 Char"/>
    <w:link w:val="4"/>
    <w:qFormat/>
    <w:uiPriority w:val="0"/>
    <w:rPr>
      <w:rFonts w:ascii="宋体" w:hAnsi="宋体"/>
      <w:b/>
      <w:bCs/>
      <w:color w:val="FF0000"/>
      <w:sz w:val="24"/>
    </w:rPr>
  </w:style>
  <w:style w:type="paragraph" w:customStyle="1" w:styleId="38">
    <w:name w:val="xl31"/>
    <w:basedOn w:val="1"/>
    <w:qFormat/>
    <w:uiPriority w:val="0"/>
    <w:pPr>
      <w:widowControl/>
      <w:spacing w:before="100" w:beforeAutospacing="1" w:after="100" w:afterAutospacing="1"/>
      <w:jc w:val="center"/>
    </w:pPr>
    <w:rPr>
      <w:rFonts w:ascii="宋体" w:hAnsi="宋体"/>
      <w:kern w:val="0"/>
      <w:sz w:val="24"/>
    </w:rPr>
  </w:style>
  <w:style w:type="paragraph" w:customStyle="1" w:styleId="39">
    <w:name w:val="font7"/>
    <w:basedOn w:val="1"/>
    <w:qFormat/>
    <w:uiPriority w:val="0"/>
    <w:pPr>
      <w:widowControl/>
      <w:spacing w:before="100" w:beforeAutospacing="1" w:after="100" w:afterAutospacing="1"/>
      <w:jc w:val="left"/>
    </w:pPr>
    <w:rPr>
      <w:rFonts w:hint="eastAsia" w:ascii="宋体" w:hAnsi="宋体"/>
      <w:kern w:val="0"/>
      <w:sz w:val="28"/>
      <w:szCs w:val="28"/>
    </w:rPr>
  </w:style>
  <w:style w:type="table" w:customStyle="1" w:styleId="40">
    <w:name w:val="Table Normal"/>
    <w:semiHidden/>
    <w:unhideWhenUsed/>
    <w:qFormat/>
    <w:uiPriority w:val="0"/>
    <w:tblPr>
      <w:tblLayout w:type="fixed"/>
      <w:tblCellMar>
        <w:top w:w="0" w:type="dxa"/>
        <w:left w:w="0" w:type="dxa"/>
        <w:bottom w:w="0" w:type="dxa"/>
        <w:right w:w="0" w:type="dxa"/>
      </w:tblCellMar>
    </w:tblPr>
  </w:style>
  <w:style w:type="character" w:customStyle="1" w:styleId="41">
    <w:name w:val="页眉 Char"/>
    <w:basedOn w:val="22"/>
    <w:link w:val="16"/>
    <w:qFormat/>
    <w:uiPriority w:val="0"/>
    <w:rPr>
      <w:kern w:val="2"/>
      <w:sz w:val="18"/>
      <w:szCs w:val="18"/>
    </w:rPr>
  </w:style>
  <w:style w:type="character" w:customStyle="1" w:styleId="42">
    <w:name w:val="批注框文本 Char"/>
    <w:basedOn w:val="22"/>
    <w:link w:val="1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5.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4.bin"/><Relationship Id="rId17" Type="http://schemas.openxmlformats.org/officeDocument/2006/relationships/image" Target="media/image3.wmf"/><Relationship Id="rId16" Type="http://schemas.openxmlformats.org/officeDocument/2006/relationships/oleObject" Target="embeddings/oleObject3.bin"/><Relationship Id="rId15" Type="http://schemas.openxmlformats.org/officeDocument/2006/relationships/image" Target="media/image2.wmf"/><Relationship Id="rId14" Type="http://schemas.openxmlformats.org/officeDocument/2006/relationships/oleObject" Target="embeddings/oleObject2.bin"/><Relationship Id="rId13" Type="http://schemas.openxmlformats.org/officeDocument/2006/relationships/image" Target="media/image1.w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Asus</Company>
  <Pages>193</Pages>
  <Words>97169</Words>
  <Characters>101765</Characters>
  <Lines>368</Lines>
  <Paragraphs>306</Paragraphs>
  <TotalTime>32</TotalTime>
  <ScaleCrop>false</ScaleCrop>
  <LinksUpToDate>false</LinksUpToDate>
  <CharactersWithSpaces>107818</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2024-01-21T09:35:00Z</dcterms:created>
  <dc:creator>孙长江</dc:creator>
  <cp:lastModifiedBy>谢曼莹1673944446715</cp:lastModifiedBy>
  <cp:lastPrinted>2024-02-22T14:33:00Z</cp:lastPrinted>
  <dcterms:modified xsi:type="dcterms:W3CDTF">2025-09-28T07:41:02Z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0A111327FC5F413B98AB45EBC15AB71F_13</vt:lpwstr>
  </property>
</Properties>
</file>